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40" w:lineRule="exact"/>
        <w:jc w:val="right"/>
        <w:rPr>
          <w:rFonts w:ascii="仿宋" w:eastAsia="仿宋"/>
          <w:color w:val="auto"/>
          <w:sz w:val="32"/>
          <w:szCs w:val="32"/>
        </w:rPr>
      </w:pPr>
      <w:r>
        <w:rPr>
          <w:rFonts w:hint="eastAsia" w:ascii="黑体" w:eastAsia="黑体"/>
          <w:color w:val="auto"/>
          <w:sz w:val="32"/>
        </w:rPr>
        <w:t>类别标记：</w:t>
      </w:r>
      <w:r>
        <w:rPr>
          <w:rFonts w:hint="eastAsia" w:ascii="黑体" w:eastAsia="黑体"/>
          <w:color w:val="auto"/>
          <w:sz w:val="32"/>
          <w:lang w:val="en-US" w:eastAsia="zh-CN"/>
        </w:rPr>
        <w:t xml:space="preserve">B </w:t>
      </w:r>
      <w:r>
        <w:rPr>
          <w:rFonts w:hint="eastAsia" w:ascii="黑体" w:eastAsia="黑体"/>
          <w:color w:val="auto"/>
          <w:sz w:val="32"/>
        </w:rPr>
        <w:t xml:space="preserve"> </w:t>
      </w:r>
    </w:p>
    <w:p>
      <w:pPr>
        <w:spacing w:line="540" w:lineRule="exact"/>
        <w:jc w:val="center"/>
        <w:rPr>
          <w:rFonts w:ascii="仿宋" w:eastAsia="仿宋"/>
          <w:color w:val="auto"/>
          <w:sz w:val="32"/>
          <w:szCs w:val="32"/>
        </w:rPr>
      </w:pPr>
    </w:p>
    <w:p>
      <w:pPr>
        <w:spacing w:line="540" w:lineRule="exact"/>
        <w:jc w:val="center"/>
        <w:rPr>
          <w:rFonts w:ascii="仿宋" w:eastAsia="仿宋"/>
          <w:sz w:val="32"/>
          <w:szCs w:val="32"/>
        </w:rPr>
      </w:pPr>
    </w:p>
    <w:p>
      <w:pPr>
        <w:pStyle w:val="2"/>
      </w:pPr>
    </w:p>
    <w:p>
      <w:pPr>
        <w:spacing w:line="580" w:lineRule="exact"/>
        <w:ind w:firstLine="320" w:firstLineChars="100"/>
        <w:rPr>
          <w:rFonts w:ascii="仿宋" w:eastAsia="仿宋"/>
          <w:w w:val="90"/>
          <w:sz w:val="32"/>
          <w:szCs w:val="32"/>
        </w:rPr>
      </w:pPr>
      <w:r>
        <w:rPr>
          <w:rFonts w:hint="eastAsia" w:ascii="仿宋_GB2312" w:eastAsia="仿宋_GB2312"/>
          <w:sz w:val="32"/>
        </w:rPr>
        <w:t>慈国资建〔2024〕</w:t>
      </w:r>
      <w:r>
        <w:rPr>
          <w:rFonts w:hint="eastAsia" w:ascii="仿宋_GB2312" w:eastAsia="仿宋_GB2312"/>
          <w:sz w:val="32"/>
          <w:lang w:val="en-US" w:eastAsia="zh-CN"/>
        </w:rPr>
        <w:t>2</w:t>
      </w:r>
      <w:r>
        <w:rPr>
          <w:rFonts w:hint="eastAsia" w:ascii="仿宋_GB2312" w:eastAsia="仿宋_GB2312"/>
          <w:sz w:val="32"/>
        </w:rPr>
        <w:t>号                   签发人：</w:t>
      </w:r>
      <w:r>
        <w:rPr>
          <w:rFonts w:hint="eastAsia" w:ascii="楷体_GB2312" w:hAnsi="楷体_GB2312" w:eastAsia="楷体_GB2312" w:cs="楷体_GB2312"/>
          <w:sz w:val="32"/>
        </w:rPr>
        <w:t>孙跃</w:t>
      </w:r>
    </w:p>
    <w:p>
      <w:pPr>
        <w:spacing w:line="540" w:lineRule="exact"/>
        <w:jc w:val="center"/>
        <w:rPr>
          <w:w w:val="90"/>
          <w:sz w:val="28"/>
        </w:rPr>
      </w:pPr>
    </w:p>
    <w:p>
      <w:pPr>
        <w:spacing w:line="480" w:lineRule="exact"/>
        <w:jc w:val="center"/>
        <w:rPr>
          <w:rFonts w:ascii="方正小标宋简体" w:hAnsi="Tahoma" w:eastAsia="方正小标宋简体" w:cs="Tahoma"/>
          <w:sz w:val="36"/>
          <w:szCs w:val="18"/>
        </w:rPr>
      </w:pPr>
    </w:p>
    <w:p>
      <w:pPr>
        <w:spacing w:line="560" w:lineRule="exact"/>
        <w:jc w:val="both"/>
        <w:rPr>
          <w:rFonts w:ascii="方正小标宋简体" w:eastAsia="方正小标宋简体"/>
          <w:sz w:val="44"/>
          <w:szCs w:val="44"/>
        </w:rPr>
      </w:pPr>
      <w:r>
        <w:rPr>
          <w:rFonts w:hint="eastAsia" w:ascii="方正小标宋简体" w:eastAsia="方正小标宋简体"/>
          <w:sz w:val="44"/>
          <w:szCs w:val="44"/>
        </w:rPr>
        <w:t>对市十八届人大三次会议第96号建议的答复</w:t>
      </w:r>
    </w:p>
    <w:p>
      <w:pPr>
        <w:spacing w:line="460" w:lineRule="exact"/>
        <w:rPr>
          <w:rFonts w:ascii="仿宋_GB2312" w:eastAsia="仿宋_GB2312"/>
          <w:sz w:val="32"/>
        </w:rPr>
      </w:pPr>
    </w:p>
    <w:p>
      <w:pPr>
        <w:widowControl/>
        <w:spacing w:line="520" w:lineRule="atLeast"/>
        <w:jc w:val="left"/>
        <w:rPr>
          <w:rFonts w:ascii="仿宋_GB2312" w:hAnsi="Tahoma" w:eastAsia="仿宋_GB2312" w:cs="仿宋_GB2312"/>
          <w:color w:val="000000"/>
          <w:sz w:val="24"/>
        </w:rPr>
      </w:pPr>
      <w:r>
        <w:rPr>
          <w:rFonts w:hint="eastAsia" w:ascii="仿宋_GB2312" w:hAnsi="Tahoma" w:eastAsia="仿宋_GB2312" w:cs="仿宋_GB2312"/>
          <w:color w:val="000000"/>
          <w:kern w:val="0"/>
          <w:sz w:val="32"/>
          <w:szCs w:val="32"/>
        </w:rPr>
        <w:t>沈觉良代表：</w:t>
      </w:r>
    </w:p>
    <w:p>
      <w:pPr>
        <w:spacing w:line="560" w:lineRule="exact"/>
        <w:ind w:firstLine="645"/>
        <w:rPr>
          <w:rFonts w:ascii="仿宋_GB2312" w:eastAsia="仿宋_GB2312"/>
          <w:spacing w:val="-6"/>
          <w:sz w:val="32"/>
        </w:rPr>
      </w:pPr>
      <w:r>
        <w:rPr>
          <w:rFonts w:hint="eastAsia" w:ascii="仿宋_GB2312" w:eastAsia="仿宋_GB2312"/>
          <w:spacing w:val="-6"/>
          <w:sz w:val="32"/>
        </w:rPr>
        <w:t>您在市十八届人大三次会议上提出的《关于加强国资投资实业审查的建议》（第96号）收悉。感谢您对我们工作的关心和支持！我中心对您的建议进行了认真研究，并会同市审计局沟通协商，认为您的建议非常中肯，对于我们进一步加强国有企业投资管理工作很有启发和帮助。经研究，现答复如下：</w:t>
      </w:r>
    </w:p>
    <w:p>
      <w:pPr>
        <w:spacing w:line="560" w:lineRule="exact"/>
        <w:ind w:firstLine="645"/>
        <w:rPr>
          <w:rFonts w:ascii="黑体" w:hAnsi="黑体" w:eastAsia="黑体" w:cs="黑体"/>
          <w:spacing w:val="-6"/>
          <w:sz w:val="32"/>
        </w:rPr>
      </w:pPr>
      <w:r>
        <w:rPr>
          <w:rFonts w:hint="eastAsia" w:ascii="黑体" w:hAnsi="黑体" w:eastAsia="黑体" w:cs="黑体"/>
          <w:spacing w:val="-6"/>
          <w:sz w:val="32"/>
        </w:rPr>
        <w:t>一、现有国有企业投资管理主要依据及方法</w:t>
      </w:r>
    </w:p>
    <w:p>
      <w:pPr>
        <w:spacing w:line="560" w:lineRule="exact"/>
        <w:ind w:firstLine="645"/>
        <w:rPr>
          <w:rFonts w:ascii="仿宋_GB2312" w:eastAsia="仿宋_GB2312"/>
          <w:spacing w:val="-6"/>
          <w:sz w:val="32"/>
        </w:rPr>
      </w:pPr>
      <w:r>
        <w:rPr>
          <w:rFonts w:ascii="仿宋_GB2312" w:eastAsia="仿宋_GB2312"/>
          <w:spacing w:val="-6"/>
          <w:sz w:val="32"/>
        </w:rPr>
        <w:t>根据《公司法》、《企业国有资产法》等法律法规，结合我市实际，我市于</w:t>
      </w:r>
      <w:r>
        <w:rPr>
          <w:rFonts w:hint="eastAsia" w:ascii="仿宋_GB2312" w:eastAsia="仿宋_GB2312"/>
          <w:spacing w:val="-6"/>
          <w:sz w:val="32"/>
        </w:rPr>
        <w:t>2018年10月出台</w:t>
      </w:r>
      <w:r>
        <w:rPr>
          <w:rFonts w:ascii="仿宋_GB2312" w:eastAsia="仿宋_GB2312"/>
          <w:spacing w:val="-6"/>
          <w:sz w:val="32"/>
        </w:rPr>
        <w:t>了</w:t>
      </w:r>
      <w:r>
        <w:rPr>
          <w:rFonts w:hint="eastAsia" w:ascii="仿宋_GB2312" w:eastAsia="仿宋_GB2312"/>
          <w:spacing w:val="-6"/>
          <w:sz w:val="32"/>
        </w:rPr>
        <w:t>《慈溪市政府直属公司投资监督管理办法》（慈政发〔2018〕50号），目的</w:t>
      </w:r>
      <w:r>
        <w:rPr>
          <w:rFonts w:ascii="仿宋_GB2312" w:eastAsia="仿宋_GB2312"/>
          <w:spacing w:val="-6"/>
          <w:sz w:val="32"/>
        </w:rPr>
        <w:t>为</w:t>
      </w:r>
      <w:r>
        <w:rPr>
          <w:rFonts w:hint="eastAsia" w:ascii="仿宋_GB2312" w:eastAsia="仿宋_GB2312"/>
          <w:spacing w:val="-6"/>
          <w:sz w:val="32"/>
        </w:rPr>
        <w:t>建立完善以管资本为主的国有资产监督管理体制，重点引导和规范企业投资行为，优化国有资本布局，维护国有资本安全，落实国有资本保值增值责任，推动国有资本做强做优做大</w:t>
      </w:r>
      <w:r>
        <w:rPr>
          <w:rFonts w:ascii="仿宋_GB2312" w:eastAsia="仿宋_GB2312"/>
          <w:spacing w:val="-6"/>
          <w:sz w:val="32"/>
        </w:rPr>
        <w:t>为基础的国有企业投资管理体系，我市的国有企业投资管理，基本上按此文件操作执行。</w:t>
      </w:r>
    </w:p>
    <w:p>
      <w:pPr>
        <w:spacing w:line="560" w:lineRule="exact"/>
        <w:ind w:firstLine="645"/>
        <w:rPr>
          <w:rFonts w:ascii="仿宋_GB2312" w:eastAsia="仿宋_GB2312"/>
          <w:spacing w:val="-6"/>
          <w:sz w:val="32"/>
        </w:rPr>
      </w:pPr>
      <w:r>
        <w:rPr>
          <w:rFonts w:hint="eastAsia" w:ascii="仿宋_GB2312" w:eastAsia="仿宋_GB2312"/>
          <w:spacing w:val="-6"/>
          <w:sz w:val="32"/>
        </w:rPr>
        <w:t>文件对国有企业投资经营项目根据投资金额、具体情况进行分类</w:t>
      </w:r>
      <w:r>
        <w:rPr>
          <w:rFonts w:ascii="仿宋_GB2312" w:eastAsia="仿宋_GB2312"/>
          <w:spacing w:val="-6"/>
          <w:sz w:val="32"/>
        </w:rPr>
        <w:t>管理，</w:t>
      </w:r>
      <w:r>
        <w:rPr>
          <w:rFonts w:hint="eastAsia" w:ascii="仿宋_GB2312" w:eastAsia="仿宋_GB2312"/>
          <w:spacing w:val="-6"/>
          <w:sz w:val="32"/>
        </w:rPr>
        <w:t>要求企业在实施项目前，</w:t>
      </w:r>
      <w:r>
        <w:rPr>
          <w:rFonts w:ascii="仿宋_GB2312" w:eastAsia="仿宋_GB2312"/>
          <w:spacing w:val="-6"/>
          <w:sz w:val="32"/>
        </w:rPr>
        <w:t>按照管理权限</w:t>
      </w:r>
      <w:r>
        <w:rPr>
          <w:rFonts w:hint="eastAsia" w:ascii="仿宋_GB2312" w:eastAsia="仿宋_GB2312"/>
          <w:spacing w:val="-6"/>
          <w:sz w:val="32"/>
        </w:rPr>
        <w:t>进行逐级审批，具体包括内部决策文件、可行性研究报告、专家评审意见、评估报告、法律意见书、相关部门意见反馈等。</w:t>
      </w:r>
      <w:r>
        <w:rPr>
          <w:rFonts w:ascii="仿宋_GB2312" w:eastAsia="仿宋_GB2312"/>
          <w:spacing w:val="-6"/>
          <w:sz w:val="32"/>
        </w:rPr>
        <w:t>同时，要求</w:t>
      </w:r>
      <w:r>
        <w:rPr>
          <w:rFonts w:hint="eastAsia" w:ascii="仿宋_GB2312" w:eastAsia="仿宋_GB2312"/>
          <w:spacing w:val="-6"/>
          <w:sz w:val="32"/>
        </w:rPr>
        <w:t>企业</w:t>
      </w:r>
      <w:r>
        <w:rPr>
          <w:rFonts w:ascii="仿宋_GB2312" w:eastAsia="仿宋_GB2312"/>
          <w:spacing w:val="-6"/>
          <w:sz w:val="32"/>
        </w:rPr>
        <w:t>对投资项目</w:t>
      </w:r>
      <w:r>
        <w:rPr>
          <w:rFonts w:hint="eastAsia" w:ascii="仿宋_GB2312" w:eastAsia="仿宋_GB2312"/>
          <w:spacing w:val="-6"/>
          <w:sz w:val="32"/>
        </w:rPr>
        <w:t>开展投资项目后评价，采取不定期抽查等方式，对市政府直属公司的投资项目实施实地跟踪、审计等监督管理。</w:t>
      </w:r>
    </w:p>
    <w:p>
      <w:pPr>
        <w:spacing w:line="560" w:lineRule="exact"/>
        <w:ind w:firstLine="645"/>
        <w:rPr>
          <w:rFonts w:ascii="黑体" w:hAnsi="黑体" w:eastAsia="黑体" w:cs="黑体"/>
          <w:spacing w:val="-6"/>
          <w:sz w:val="32"/>
        </w:rPr>
      </w:pPr>
      <w:r>
        <w:rPr>
          <w:rFonts w:hint="eastAsia" w:ascii="黑体" w:hAnsi="黑体" w:eastAsia="黑体" w:cs="黑体"/>
          <w:spacing w:val="-6"/>
          <w:sz w:val="32"/>
        </w:rPr>
        <w:t>二、打算</w:t>
      </w:r>
      <w:r>
        <w:rPr>
          <w:rFonts w:ascii="黑体" w:hAnsi="黑体" w:eastAsia="黑体" w:cs="黑体"/>
          <w:spacing w:val="-6"/>
          <w:sz w:val="32"/>
        </w:rPr>
        <w:t>安排</w:t>
      </w:r>
    </w:p>
    <w:p>
      <w:pPr>
        <w:spacing w:line="560" w:lineRule="exact"/>
        <w:ind w:firstLine="645"/>
        <w:rPr>
          <w:rFonts w:ascii="仿宋_GB2312" w:eastAsia="仿宋_GB2312"/>
          <w:spacing w:val="-6"/>
          <w:sz w:val="32"/>
        </w:rPr>
      </w:pPr>
      <w:r>
        <w:rPr>
          <w:rFonts w:ascii="仿宋_GB2312" w:eastAsia="仿宋_GB2312"/>
          <w:spacing w:val="-6"/>
          <w:sz w:val="32"/>
        </w:rPr>
        <w:t>下步，</w:t>
      </w:r>
      <w:r>
        <w:rPr>
          <w:rFonts w:hint="eastAsia" w:ascii="仿宋_GB2312" w:eastAsia="仿宋_GB2312"/>
          <w:spacing w:val="-6"/>
          <w:sz w:val="32"/>
        </w:rPr>
        <w:t>我中心将会同市审计局继续在市委市政府及</w:t>
      </w:r>
      <w:r>
        <w:rPr>
          <w:rFonts w:ascii="仿宋_GB2312" w:eastAsia="仿宋_GB2312"/>
          <w:spacing w:val="-6"/>
          <w:sz w:val="32"/>
        </w:rPr>
        <w:t>市</w:t>
      </w:r>
      <w:r>
        <w:rPr>
          <w:rFonts w:hint="eastAsia" w:ascii="仿宋_GB2312" w:eastAsia="仿宋_GB2312"/>
          <w:spacing w:val="-6"/>
          <w:sz w:val="32"/>
        </w:rPr>
        <w:t>审计委员会和上级审计机关的领导下、在市人大常委会的监督指导下，统筹推进审计揭示问题“上半篇文章”和审计整改“下半篇文章”，一体推进揭示问题、规范管理、促进改革。其中2024年市审计局将深化对国有资产、国有资金、国有企业的审计监督，促进国有企业规范管理、防范风险、提高绩效。</w:t>
      </w:r>
      <w:r>
        <w:rPr>
          <w:rFonts w:ascii="仿宋_GB2312" w:eastAsia="仿宋_GB2312"/>
          <w:spacing w:val="-6"/>
          <w:sz w:val="32"/>
        </w:rPr>
        <w:t>与您提出的要求加强国资投资实业审查的建议不谋而合，对于您所提出的现象会予以特别关注，我们将会从以下几个方面来加强监管：</w:t>
      </w:r>
    </w:p>
    <w:p>
      <w:pPr>
        <w:spacing w:line="560" w:lineRule="exact"/>
        <w:ind w:firstLine="645"/>
        <w:rPr>
          <w:rFonts w:ascii="仿宋_GB2312" w:eastAsia="仿宋_GB2312"/>
          <w:spacing w:val="-6"/>
          <w:sz w:val="32"/>
        </w:rPr>
      </w:pPr>
      <w:r>
        <w:rPr>
          <w:rFonts w:ascii="仿宋_GB2312" w:eastAsia="仿宋_GB2312"/>
          <w:b/>
          <w:bCs/>
          <w:spacing w:val="-6"/>
          <w:sz w:val="32"/>
        </w:rPr>
        <w:t>一是</w:t>
      </w:r>
      <w:r>
        <w:rPr>
          <w:rFonts w:hint="eastAsia" w:ascii="仿宋_GB2312" w:eastAsia="仿宋_GB2312"/>
          <w:b/>
          <w:bCs/>
          <w:spacing w:val="-6"/>
          <w:sz w:val="32"/>
        </w:rPr>
        <w:t>持续深化投资业务合规性</w:t>
      </w:r>
      <w:r>
        <w:rPr>
          <w:rFonts w:ascii="仿宋_GB2312" w:eastAsia="仿宋_GB2312"/>
          <w:b/>
          <w:bCs/>
          <w:spacing w:val="-6"/>
          <w:sz w:val="32"/>
        </w:rPr>
        <w:t>审查</w:t>
      </w:r>
      <w:r>
        <w:rPr>
          <w:rFonts w:hint="eastAsia" w:ascii="仿宋_GB2312" w:eastAsia="仿宋_GB2312"/>
          <w:b/>
          <w:bCs/>
          <w:spacing w:val="-6"/>
          <w:sz w:val="32"/>
        </w:rPr>
        <w:t>。</w:t>
      </w:r>
      <w:r>
        <w:rPr>
          <w:rFonts w:hint="eastAsia" w:ascii="仿宋_GB2312" w:eastAsia="仿宋_GB2312"/>
          <w:spacing w:val="-6"/>
          <w:sz w:val="32"/>
        </w:rPr>
        <w:t>进一步要求企业在投资经营性项目严格按照相关法律法规及国资管理规定，严守各行业主管部门政策红线，合理制订公司章程，规范决策，充分考虑项目后续经营的持续性，按项目可研收益测算组织好经营，确保国有资产增值保值。强化对混合所制企业的监管，适时出台《市国有企业参股管理细则》，</w:t>
      </w:r>
      <w:r>
        <w:rPr>
          <w:rFonts w:ascii="仿宋_GB2312" w:eastAsia="仿宋_GB2312"/>
          <w:spacing w:val="-6"/>
          <w:sz w:val="32"/>
        </w:rPr>
        <w:t>明确国有企业投资边界，</w:t>
      </w:r>
      <w:r>
        <w:rPr>
          <w:rFonts w:hint="eastAsia" w:ascii="仿宋_GB2312" w:eastAsia="仿宋_GB2312"/>
          <w:spacing w:val="-6"/>
          <w:sz w:val="32"/>
        </w:rPr>
        <w:t>实行差异化监管。</w:t>
      </w:r>
      <w:r>
        <w:rPr>
          <w:rFonts w:hint="eastAsia" w:ascii="仿宋_GB2312" w:eastAsia="仿宋_GB2312"/>
          <w:spacing w:val="-6"/>
          <w:sz w:val="32"/>
        </w:rPr>
        <w:cr/>
      </w:r>
      <w:r>
        <w:rPr>
          <w:rFonts w:hint="eastAsia" w:ascii="仿宋_GB2312" w:eastAsia="仿宋_GB2312"/>
          <w:spacing w:val="-6"/>
          <w:sz w:val="32"/>
        </w:rPr>
        <w:t xml:space="preserve">   </w:t>
      </w:r>
      <w:r>
        <w:rPr>
          <w:rFonts w:ascii="仿宋_GB2312" w:eastAsia="仿宋_GB2312"/>
          <w:spacing w:val="-6"/>
          <w:sz w:val="32"/>
        </w:rPr>
        <w:t xml:space="preserve"> </w:t>
      </w:r>
      <w:r>
        <w:rPr>
          <w:rFonts w:ascii="仿宋_GB2312" w:eastAsia="仿宋_GB2312"/>
          <w:b/>
          <w:bCs/>
          <w:spacing w:val="-6"/>
          <w:sz w:val="32"/>
        </w:rPr>
        <w:t>二是不断</w:t>
      </w:r>
      <w:r>
        <w:rPr>
          <w:rFonts w:hint="eastAsia" w:ascii="仿宋_GB2312" w:eastAsia="仿宋_GB2312"/>
          <w:b/>
          <w:bCs/>
          <w:spacing w:val="-6"/>
          <w:sz w:val="32"/>
        </w:rPr>
        <w:t>强化内审</w:t>
      </w:r>
      <w:r>
        <w:rPr>
          <w:rFonts w:ascii="仿宋_GB2312" w:eastAsia="仿宋_GB2312"/>
          <w:b/>
          <w:bCs/>
          <w:spacing w:val="-6"/>
          <w:sz w:val="32"/>
        </w:rPr>
        <w:t>督查</w:t>
      </w:r>
      <w:r>
        <w:rPr>
          <w:rFonts w:hint="eastAsia" w:ascii="仿宋_GB2312" w:eastAsia="仿宋_GB2312"/>
          <w:b/>
          <w:bCs/>
          <w:spacing w:val="-6"/>
          <w:sz w:val="32"/>
        </w:rPr>
        <w:t>。</w:t>
      </w:r>
      <w:r>
        <w:rPr>
          <w:rFonts w:hint="eastAsia" w:ascii="仿宋_GB2312" w:eastAsia="仿宋_GB2312"/>
          <w:spacing w:val="-6"/>
          <w:sz w:val="32"/>
        </w:rPr>
        <w:t>加强内部审计队伍建设，开展内审工作培训</w:t>
      </w:r>
      <w:r>
        <w:rPr>
          <w:rFonts w:ascii="仿宋_GB2312" w:eastAsia="仿宋_GB2312"/>
          <w:spacing w:val="-6"/>
          <w:sz w:val="32"/>
        </w:rPr>
        <w:t>，</w:t>
      </w:r>
      <w:r>
        <w:rPr>
          <w:rFonts w:hint="eastAsia" w:ascii="仿宋_GB2312" w:eastAsia="仿宋_GB2312"/>
          <w:spacing w:val="-6"/>
          <w:sz w:val="32"/>
        </w:rPr>
        <w:t>充分有效发挥审计监督职能</w:t>
      </w:r>
      <w:r>
        <w:rPr>
          <w:rFonts w:ascii="仿宋_GB2312" w:eastAsia="仿宋_GB2312"/>
          <w:spacing w:val="-6"/>
          <w:sz w:val="32"/>
        </w:rPr>
        <w:t>，制订</w:t>
      </w:r>
      <w:r>
        <w:rPr>
          <w:rFonts w:hint="eastAsia" w:ascii="仿宋_GB2312" w:eastAsia="仿宋_GB2312"/>
          <w:spacing w:val="-6"/>
          <w:sz w:val="32"/>
          <w:lang w:val="en-US" w:eastAsia="zh-CN"/>
        </w:rPr>
        <w:t>实施</w:t>
      </w:r>
      <w:r>
        <w:rPr>
          <w:rFonts w:hint="eastAsia" w:ascii="仿宋_GB2312" w:eastAsia="仿宋_GB2312"/>
          <w:spacing w:val="-6"/>
          <w:sz w:val="32"/>
        </w:rPr>
        <w:t>《2024年国企内审工作计划》，加强审计</w:t>
      </w:r>
      <w:r>
        <w:rPr>
          <w:rFonts w:ascii="仿宋_GB2312" w:eastAsia="仿宋_GB2312"/>
          <w:spacing w:val="-6"/>
          <w:sz w:val="32"/>
        </w:rPr>
        <w:t>，加强</w:t>
      </w:r>
      <w:r>
        <w:rPr>
          <w:rFonts w:hint="eastAsia" w:ascii="仿宋_GB2312" w:eastAsia="仿宋_GB2312"/>
          <w:spacing w:val="-6"/>
          <w:sz w:val="32"/>
        </w:rPr>
        <w:t>工作整改闭环管理，按照审计整改工作实施细则，确保所发现问题全面整改落实到位。</w:t>
      </w:r>
      <w:r>
        <w:rPr>
          <w:rFonts w:hint="eastAsia" w:ascii="仿宋_GB2312" w:eastAsia="仿宋_GB2312"/>
          <w:spacing w:val="-6"/>
          <w:sz w:val="32"/>
        </w:rPr>
        <w:cr/>
      </w:r>
      <w:r>
        <w:rPr>
          <w:rFonts w:hint="eastAsia" w:ascii="仿宋_GB2312" w:eastAsia="仿宋_GB2312"/>
          <w:spacing w:val="-6"/>
          <w:sz w:val="32"/>
        </w:rPr>
        <w:t xml:space="preserve">  </w:t>
      </w:r>
      <w:r>
        <w:rPr>
          <w:rFonts w:ascii="仿宋_GB2312" w:eastAsia="仿宋_GB2312"/>
          <w:spacing w:val="-6"/>
          <w:sz w:val="32"/>
        </w:rPr>
        <w:t xml:space="preserve">  </w:t>
      </w:r>
      <w:r>
        <w:rPr>
          <w:rFonts w:ascii="仿宋_GB2312" w:eastAsia="仿宋_GB2312"/>
          <w:b/>
          <w:bCs/>
          <w:spacing w:val="-6"/>
          <w:sz w:val="32"/>
        </w:rPr>
        <w:t>三是继续</w:t>
      </w:r>
      <w:r>
        <w:rPr>
          <w:rFonts w:hint="eastAsia" w:ascii="仿宋_GB2312" w:eastAsia="仿宋_GB2312"/>
          <w:b/>
          <w:bCs/>
          <w:spacing w:val="-6"/>
          <w:sz w:val="32"/>
        </w:rPr>
        <w:t>提升经营绩效考核科学性。</w:t>
      </w:r>
      <w:r>
        <w:rPr>
          <w:rFonts w:hint="eastAsia" w:ascii="仿宋_GB2312" w:eastAsia="仿宋_GB2312"/>
          <w:spacing w:val="-6"/>
          <w:sz w:val="32"/>
        </w:rPr>
        <w:t>将推进国有企业现代化治理作为下步国企改革核心任务，着力提升管理绩效、投资绩效、人员绩效</w:t>
      </w:r>
      <w:r>
        <w:rPr>
          <w:rFonts w:ascii="仿宋_GB2312" w:eastAsia="仿宋_GB2312"/>
          <w:spacing w:val="-6"/>
          <w:sz w:val="32"/>
        </w:rPr>
        <w:t>考核力度，</w:t>
      </w:r>
      <w:r>
        <w:rPr>
          <w:rFonts w:hint="eastAsia" w:ascii="仿宋_GB2312" w:eastAsia="仿宋_GB2312"/>
          <w:spacing w:val="-6"/>
          <w:sz w:val="32"/>
        </w:rPr>
        <w:t>建立健全与</w:t>
      </w:r>
      <w:r>
        <w:rPr>
          <w:rFonts w:ascii="仿宋_GB2312" w:eastAsia="仿宋_GB2312"/>
          <w:spacing w:val="-6"/>
          <w:sz w:val="32"/>
        </w:rPr>
        <w:t>国有企业</w:t>
      </w:r>
      <w:r>
        <w:rPr>
          <w:rFonts w:hint="eastAsia" w:ascii="仿宋_GB2312" w:eastAsia="仿宋_GB2312"/>
          <w:spacing w:val="-6"/>
          <w:sz w:val="32"/>
        </w:rPr>
        <w:t>发展实际相适应的综合考核体系，按照市委市政府年度重点工作任务和企业经营绩效要求，提出年度综合考核重点内容、指标调整，并做好动态监测和提醒督促。</w:t>
      </w:r>
    </w:p>
    <w:p>
      <w:pPr>
        <w:spacing w:line="560" w:lineRule="exact"/>
        <w:ind w:firstLine="645"/>
        <w:rPr>
          <w:rFonts w:ascii="仿宋_GB2312" w:eastAsia="仿宋_GB2312"/>
          <w:spacing w:val="-6"/>
          <w:sz w:val="32"/>
        </w:rPr>
      </w:pPr>
      <w:r>
        <w:rPr>
          <w:rFonts w:hint="eastAsia" w:ascii="仿宋_GB2312" w:eastAsia="仿宋_GB2312"/>
          <w:spacing w:val="-6"/>
          <w:sz w:val="32"/>
          <w:lang w:val="en-US" w:eastAsia="zh-CN"/>
        </w:rPr>
        <w:t>感谢您对国资管理工作的关心与支持</w:t>
      </w:r>
      <w:r>
        <w:rPr>
          <w:rFonts w:hint="eastAsia" w:ascii="仿宋_GB2312" w:eastAsia="仿宋_GB2312"/>
          <w:spacing w:val="-6"/>
          <w:sz w:val="32"/>
        </w:rPr>
        <w:t>！</w:t>
      </w:r>
    </w:p>
    <w:p>
      <w:pPr>
        <w:spacing w:line="560" w:lineRule="exact"/>
        <w:rPr>
          <w:rFonts w:ascii="仿宋_GB2312" w:eastAsia="仿宋_GB2312"/>
          <w:spacing w:val="-6"/>
          <w:sz w:val="32"/>
        </w:rPr>
      </w:pPr>
      <w:r>
        <w:rPr>
          <w:rFonts w:hint="eastAsia" w:ascii="仿宋_GB2312" w:eastAsia="仿宋_GB2312"/>
          <w:spacing w:val="-6"/>
          <w:sz w:val="32"/>
        </w:rPr>
        <w:t xml:space="preserve">　　　　　　　　　      </w:t>
      </w:r>
    </w:p>
    <w:p>
      <w:pPr>
        <w:spacing w:line="560" w:lineRule="exact"/>
        <w:ind w:firstLine="645"/>
        <w:rPr>
          <w:rFonts w:ascii="仿宋_GB2312" w:eastAsia="仿宋_GB2312"/>
          <w:spacing w:val="-6"/>
          <w:sz w:val="32"/>
        </w:rPr>
      </w:pPr>
    </w:p>
    <w:p>
      <w:pPr>
        <w:spacing w:line="560" w:lineRule="exact"/>
        <w:ind w:firstLine="4330" w:firstLineChars="1406"/>
        <w:rPr>
          <w:rFonts w:ascii="仿宋_GB2312" w:eastAsia="仿宋_GB2312"/>
          <w:spacing w:val="-6"/>
          <w:sz w:val="32"/>
        </w:rPr>
      </w:pPr>
      <w:r>
        <w:rPr>
          <w:rFonts w:hint="eastAsia" w:ascii="仿宋_GB2312" w:eastAsia="仿宋_GB2312"/>
          <w:spacing w:val="-6"/>
          <w:sz w:val="32"/>
        </w:rPr>
        <w:t xml:space="preserve">   慈溪市国有资产管理中心</w:t>
      </w:r>
    </w:p>
    <w:p>
      <w:pPr>
        <w:spacing w:line="560" w:lineRule="exact"/>
        <w:ind w:firstLine="645"/>
        <w:rPr>
          <w:rFonts w:ascii="仿宋_GB2312" w:eastAsia="仿宋_GB2312"/>
          <w:spacing w:val="-6"/>
          <w:sz w:val="32"/>
        </w:rPr>
      </w:pPr>
      <w:r>
        <w:rPr>
          <w:rFonts w:hint="eastAsia" w:ascii="仿宋_GB2312" w:eastAsia="仿宋_GB2312"/>
          <w:spacing w:val="-6"/>
          <w:sz w:val="32"/>
        </w:rPr>
        <w:t>　　　　　　　　　　           2024年6月28日</w:t>
      </w:r>
    </w:p>
    <w:p>
      <w:pPr>
        <w:spacing w:line="560" w:lineRule="exact"/>
        <w:rPr>
          <w:rFonts w:hint="eastAsia" w:ascii="仿宋_GB2312" w:eastAsia="仿宋_GB2312"/>
          <w:sz w:val="28"/>
          <w:szCs w:val="28"/>
        </w:rPr>
      </w:pPr>
    </w:p>
    <w:p>
      <w:pPr>
        <w:pStyle w:val="2"/>
        <w:rPr>
          <w:rFonts w:hint="eastAsia"/>
        </w:rPr>
      </w:pPr>
    </w:p>
    <w:p>
      <w:pPr>
        <w:spacing w:line="560" w:lineRule="exact"/>
        <w:ind w:firstLine="645"/>
        <w:rPr>
          <w:rFonts w:hint="eastAsia" w:ascii="仿宋_GB2312" w:eastAsia="仿宋_GB2312"/>
          <w:spacing w:val="-6"/>
          <w:sz w:val="32"/>
        </w:rPr>
      </w:pPr>
      <w:r>
        <w:rPr>
          <w:rFonts w:hint="eastAsia" w:ascii="仿宋_GB2312" w:eastAsia="仿宋_GB2312"/>
          <w:spacing w:val="-6"/>
          <w:sz w:val="32"/>
        </w:rPr>
        <w:t>抄　　送：市人大代表工委，市政府办公室，市审计局</w:t>
      </w:r>
      <w:r>
        <w:rPr>
          <w:rFonts w:hint="eastAsia" w:ascii="仿宋_GB2312" w:eastAsia="仿宋_GB2312"/>
          <w:spacing w:val="-6"/>
          <w:sz w:val="32"/>
          <w:lang w:eastAsia="zh-CN"/>
        </w:rPr>
        <w:t>，</w:t>
      </w:r>
      <w:r>
        <w:rPr>
          <w:rFonts w:hint="eastAsia" w:ascii="仿宋_GB2312" w:eastAsia="仿宋_GB2312"/>
          <w:spacing w:val="-6"/>
          <w:sz w:val="32"/>
        </w:rPr>
        <w:t>崇寿镇人大</w:t>
      </w:r>
      <w:r>
        <w:rPr>
          <w:rFonts w:hint="eastAsia" w:ascii="仿宋_GB2312" w:eastAsia="仿宋_GB2312"/>
          <w:spacing w:val="-6"/>
          <w:sz w:val="32"/>
          <w:lang w:val="en-US" w:eastAsia="zh-CN"/>
        </w:rPr>
        <w:t>主席</w:t>
      </w:r>
      <w:r>
        <w:rPr>
          <w:rFonts w:hint="eastAsia" w:ascii="仿宋_GB2312" w:eastAsia="仿宋_GB2312"/>
          <w:spacing w:val="-6"/>
          <w:sz w:val="32"/>
        </w:rPr>
        <w:t>团。</w:t>
      </w:r>
    </w:p>
    <w:p>
      <w:pPr>
        <w:spacing w:line="560" w:lineRule="exact"/>
        <w:ind w:firstLine="645"/>
        <w:rPr>
          <w:rFonts w:hint="eastAsia" w:ascii="仿宋_GB2312" w:eastAsia="仿宋_GB2312"/>
          <w:spacing w:val="-6"/>
          <w:sz w:val="32"/>
        </w:rPr>
      </w:pPr>
      <w:r>
        <w:rPr>
          <w:rFonts w:hint="eastAsia" w:ascii="仿宋_GB2312" w:eastAsia="仿宋_GB2312"/>
          <w:spacing w:val="-6"/>
          <w:sz w:val="32"/>
        </w:rPr>
        <w:t>联 系 人：宋锋南</w:t>
      </w:r>
    </w:p>
    <w:p>
      <w:pPr>
        <w:spacing w:line="560" w:lineRule="exact"/>
        <w:ind w:firstLine="645"/>
        <w:rPr>
          <w:rFonts w:hint="eastAsia" w:ascii="仿宋_GB2312" w:eastAsia="仿宋_GB2312"/>
          <w:spacing w:val="-6"/>
          <w:sz w:val="32"/>
        </w:rPr>
      </w:pPr>
      <w:r>
        <w:rPr>
          <w:rFonts w:hint="eastAsia" w:ascii="仿宋_GB2312" w:eastAsia="仿宋_GB2312"/>
          <w:spacing w:val="-6"/>
          <w:sz w:val="32"/>
        </w:rPr>
        <w:t>联系电话：63113953</w:t>
      </w:r>
      <w:bookmarkStart w:id="0" w:name="_GoBack"/>
      <w:bookmarkEnd w:id="0"/>
    </w:p>
    <w:sectPr>
      <w:footerReference r:id="rId3" w:type="default"/>
      <w:pgSz w:w="11850" w:h="16783"/>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sz w:val="28"/>
                  </w:rPr>
                </w:pPr>
                <w:r>
                  <w:rPr>
                    <w:sz w:val="28"/>
                  </w:rPr>
                  <w:t xml:space="preserve">— </w:t>
                </w: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r>
                  <w:rPr>
                    <w:sz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RmNDYyOWMzODNkNGE4NDBkMDQwY2NkODhhNGQ2YjkifQ=="/>
  </w:docVars>
  <w:rsids>
    <w:rsidRoot w:val="773D2EE5"/>
    <w:rsid w:val="002D1898"/>
    <w:rsid w:val="00676C74"/>
    <w:rsid w:val="00B802D1"/>
    <w:rsid w:val="00EF0ED1"/>
    <w:rsid w:val="010975C0"/>
    <w:rsid w:val="017542F4"/>
    <w:rsid w:val="02E92054"/>
    <w:rsid w:val="03E61C73"/>
    <w:rsid w:val="045525AB"/>
    <w:rsid w:val="058C00A9"/>
    <w:rsid w:val="086707D7"/>
    <w:rsid w:val="08D84A6E"/>
    <w:rsid w:val="090C0F64"/>
    <w:rsid w:val="095873E2"/>
    <w:rsid w:val="0A7023D6"/>
    <w:rsid w:val="0B0758A7"/>
    <w:rsid w:val="0BA9152F"/>
    <w:rsid w:val="0BC76BDF"/>
    <w:rsid w:val="0C0F70F9"/>
    <w:rsid w:val="0C863002"/>
    <w:rsid w:val="10530D2C"/>
    <w:rsid w:val="10866DC1"/>
    <w:rsid w:val="1456146C"/>
    <w:rsid w:val="151E7E88"/>
    <w:rsid w:val="1749085A"/>
    <w:rsid w:val="19582824"/>
    <w:rsid w:val="1A9E31F3"/>
    <w:rsid w:val="1BF146E6"/>
    <w:rsid w:val="1D6B6AFD"/>
    <w:rsid w:val="1F4E0726"/>
    <w:rsid w:val="1FBD26A2"/>
    <w:rsid w:val="20F879A7"/>
    <w:rsid w:val="23A01B26"/>
    <w:rsid w:val="257D1F44"/>
    <w:rsid w:val="26BE5606"/>
    <w:rsid w:val="26E92BE5"/>
    <w:rsid w:val="2A136595"/>
    <w:rsid w:val="2B09362A"/>
    <w:rsid w:val="2C1837E7"/>
    <w:rsid w:val="2D03611F"/>
    <w:rsid w:val="2F490189"/>
    <w:rsid w:val="2F9E1E2F"/>
    <w:rsid w:val="30A71064"/>
    <w:rsid w:val="319F2A58"/>
    <w:rsid w:val="3A413D19"/>
    <w:rsid w:val="3CCC2C54"/>
    <w:rsid w:val="40907E72"/>
    <w:rsid w:val="42212F8E"/>
    <w:rsid w:val="42D96EB9"/>
    <w:rsid w:val="46F100F3"/>
    <w:rsid w:val="48BA04C4"/>
    <w:rsid w:val="49D21784"/>
    <w:rsid w:val="4A2C0F5E"/>
    <w:rsid w:val="4AFE4F6E"/>
    <w:rsid w:val="4B114E30"/>
    <w:rsid w:val="4B587331"/>
    <w:rsid w:val="4D6621BF"/>
    <w:rsid w:val="500243D3"/>
    <w:rsid w:val="54852987"/>
    <w:rsid w:val="569A3030"/>
    <w:rsid w:val="56CF0323"/>
    <w:rsid w:val="56F50139"/>
    <w:rsid w:val="586E66A0"/>
    <w:rsid w:val="58DC4756"/>
    <w:rsid w:val="596209D4"/>
    <w:rsid w:val="5AB071D7"/>
    <w:rsid w:val="5C122611"/>
    <w:rsid w:val="5C1452B8"/>
    <w:rsid w:val="5C324C1D"/>
    <w:rsid w:val="60EF4197"/>
    <w:rsid w:val="61B81661"/>
    <w:rsid w:val="61F514C6"/>
    <w:rsid w:val="62556F61"/>
    <w:rsid w:val="63BB51BD"/>
    <w:rsid w:val="650D74DA"/>
    <w:rsid w:val="651B67EF"/>
    <w:rsid w:val="66AB26EF"/>
    <w:rsid w:val="66F67E0E"/>
    <w:rsid w:val="677D3C1C"/>
    <w:rsid w:val="67CE125C"/>
    <w:rsid w:val="686E57B6"/>
    <w:rsid w:val="69F17C5C"/>
    <w:rsid w:val="6A9B3F27"/>
    <w:rsid w:val="6BAC4A99"/>
    <w:rsid w:val="6C516510"/>
    <w:rsid w:val="6C982A9F"/>
    <w:rsid w:val="6E1E067F"/>
    <w:rsid w:val="722D2A5F"/>
    <w:rsid w:val="72520486"/>
    <w:rsid w:val="72602087"/>
    <w:rsid w:val="72A07E60"/>
    <w:rsid w:val="72DD4E02"/>
    <w:rsid w:val="74BE1A94"/>
    <w:rsid w:val="770B4B5C"/>
    <w:rsid w:val="771F6F0D"/>
    <w:rsid w:val="773D2EE5"/>
    <w:rsid w:val="7A8E221F"/>
    <w:rsid w:val="7DAD7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219</Words>
  <Characters>1249</Characters>
  <Lines>10</Lines>
  <Paragraphs>2</Paragraphs>
  <TotalTime>49</TotalTime>
  <ScaleCrop>false</ScaleCrop>
  <LinksUpToDate>false</LinksUpToDate>
  <CharactersWithSpaces>1466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2023-05-24T01:51:00Z</dcterms:created>
  <dc:creator>Administrator</dc:creator>
  <cp:lastModifiedBy>admin</cp:lastModifiedBy>
  <cp:lastPrinted>2024-07-03T01:26:00Z</cp:lastPrinted>
  <dcterms:modified xsi:type="dcterms:W3CDTF">2024-07-04T01:07:38Z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58DA816208144D7A9D02EA7340C86C35_11</vt:lpwstr>
  </property>
</Properties>
</file>