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3"/>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4.8pt;height:0pt;width:441pt;z-index:251659264;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76eW/TAAAACAEAAA8AAAAAAAAA&#10;AQAgAAAAIgAAAGRycy9kb3ducmV2LnhtbFBLAQIUABQAAAAIAIdO4kA0DrDG3QEAAJcDAAAOAAAA&#10;AAAAAAEAIAAAACIBAABkcnMvZTJvRG9jLnhtbFBLBQYAAAAABgAGAFkBAABxBQAAAAA=&#10;">
                <v:fill on="f" focussize="0,0"/>
                <v:stroke weight="2.25pt" color="#FF0000" joinstyle="round"/>
                <v:imagedata o:title=""/>
                <o:lock v:ext="edit" aspectratio="f"/>
              </v:line>
            </w:pict>
          </mc:Fallback>
        </mc:AlternateConten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十七届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五</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278</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lang w:eastAsia="zh-CN"/>
        </w:rPr>
        <w:t>市文广旅体局</w:t>
      </w:r>
      <w:r>
        <w:rPr>
          <w:rFonts w:hint="eastAsia" w:ascii="仿宋_GB2312" w:eastAsia="仿宋_GB2312"/>
          <w:sz w:val="32"/>
        </w:rPr>
        <w:t>：</w:t>
      </w:r>
    </w:p>
    <w:p>
      <w:pPr>
        <w:pStyle w:val="3"/>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沈建江代表</w:t>
      </w:r>
      <w:r>
        <w:rPr>
          <w:rFonts w:hint="eastAsia" w:ascii="仿宋_GB2312" w:hAnsi="宋体" w:eastAsia="仿宋_GB2312"/>
          <w:sz w:val="32"/>
          <w:szCs w:val="32"/>
        </w:rPr>
        <w:t>在市十七届人大</w:t>
      </w:r>
      <w:r>
        <w:rPr>
          <w:rFonts w:hint="eastAsia" w:ascii="仿宋_GB2312" w:hAnsi="宋体" w:eastAsia="仿宋_GB2312"/>
          <w:sz w:val="32"/>
          <w:szCs w:val="32"/>
          <w:lang w:eastAsia="zh-CN"/>
        </w:rPr>
        <w:t>五</w:t>
      </w:r>
      <w:r>
        <w:rPr>
          <w:rFonts w:hint="eastAsia" w:ascii="仿宋_GB2312" w:hAnsi="宋体" w:eastAsia="仿宋_GB2312"/>
          <w:sz w:val="32"/>
          <w:szCs w:val="32"/>
        </w:rPr>
        <w:t>次会议大会期间提出的《</w:t>
      </w:r>
      <w:r>
        <w:rPr>
          <w:rFonts w:hint="eastAsia" w:ascii="仿宋_GB2312" w:hAnsi="宋体" w:eastAsia="仿宋_GB2312"/>
          <w:sz w:val="32"/>
          <w:szCs w:val="32"/>
          <w:lang w:eastAsia="zh-CN"/>
        </w:rPr>
        <w:t>关于深化文旅融合，推动全域旅游高质量发展</w:t>
      </w:r>
      <w:r>
        <w:rPr>
          <w:rFonts w:hint="eastAsia" w:ascii="仿宋_GB2312" w:hAnsi="宋体" w:eastAsia="仿宋_GB2312"/>
          <w:sz w:val="32"/>
          <w:szCs w:val="32"/>
        </w:rPr>
        <w:t>的建议》（第</w:t>
      </w:r>
      <w:r>
        <w:rPr>
          <w:rFonts w:hint="eastAsia" w:ascii="仿宋_GB2312" w:hAnsi="宋体" w:eastAsia="仿宋_GB2312"/>
          <w:sz w:val="32"/>
          <w:szCs w:val="32"/>
          <w:lang w:val="en-US" w:eastAsia="zh-CN"/>
        </w:rPr>
        <w:t>278</w:t>
      </w:r>
      <w:r>
        <w:rPr>
          <w:rFonts w:hint="eastAsia" w:ascii="仿宋_GB2312" w:hAnsi="宋体" w:eastAsia="仿宋_GB2312"/>
          <w:sz w:val="32"/>
          <w:szCs w:val="32"/>
        </w:rPr>
        <w:t>号）建议已收悉。经研究，现就有关协办意见答复如下：</w:t>
      </w:r>
    </w:p>
    <w:p>
      <w:pPr>
        <w:pStyle w:val="3"/>
        <w:spacing w:before="0" w:beforeAutospacing="0" w:after="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sz w:val="32"/>
          <w:szCs w:val="32"/>
          <w:lang w:eastAsia="zh-CN"/>
        </w:rPr>
        <w:t>关于强化旅游用地和规划保障的建议。一方面，</w:t>
      </w:r>
      <w:r>
        <w:rPr>
          <w:rFonts w:hint="eastAsia" w:ascii="仿宋_GB2312" w:hAnsi="仿宋_GB2312" w:eastAsia="仿宋_GB2312" w:cs="仿宋_GB2312"/>
          <w:sz w:val="32"/>
          <w:szCs w:val="32"/>
          <w:lang w:eastAsia="zh-CN"/>
        </w:rPr>
        <w:t>目前市镇两级国土空间规划正在编制中，我市建设项目多，建设用地需求大，建设用地空间指标较为紧张，本轮国土空间规划以集约节约为原则，下阶段我局会与各镇（街道）和旅游主管部门做好衔接，合理保障优质旅游项目的空间诉求。另一方面，</w:t>
      </w:r>
      <w:r>
        <w:rPr>
          <w:rFonts w:hint="eastAsia" w:ascii="仿宋_GB2312" w:hAnsi="仿宋_GB2312" w:eastAsia="仿宋_GB2312" w:cs="仿宋_GB2312"/>
          <w:sz w:val="32"/>
          <w:szCs w:val="32"/>
        </w:rPr>
        <w:t>今年用地保障实行“计划指标与</w:t>
      </w:r>
      <w:r>
        <w:rPr>
          <w:rFonts w:hint="eastAsia" w:ascii="仿宋_GB2312" w:hAnsi="黑体" w:eastAsia="仿宋_GB2312"/>
          <w:bCs/>
          <w:sz w:val="32"/>
          <w:szCs w:val="32"/>
        </w:rPr>
        <w:t>存量处置挂钩</w:t>
      </w:r>
      <w:r>
        <w:rPr>
          <w:rFonts w:hint="eastAsia" w:ascii="仿宋_GB2312" w:hAnsi="仿宋_GB2312" w:eastAsia="仿宋_GB2312" w:cs="仿宋_GB2312"/>
          <w:sz w:val="32"/>
          <w:szCs w:val="32"/>
        </w:rPr>
        <w:t>”，</w:t>
      </w:r>
      <w:r>
        <w:rPr>
          <w:rFonts w:hint="eastAsia" w:ascii="仿宋_GB2312" w:hAnsi="宋体" w:eastAsia="仿宋_GB2312"/>
          <w:sz w:val="32"/>
          <w:szCs w:val="32"/>
        </w:rPr>
        <w:t>除</w:t>
      </w:r>
      <w:r>
        <w:rPr>
          <w:rFonts w:hint="eastAsia" w:ascii="仿宋_GB2312" w:hAnsi="宋体" w:eastAsia="仿宋_GB2312"/>
          <w:sz w:val="32"/>
          <w:szCs w:val="32"/>
          <w:lang w:eastAsia="zh-CN"/>
        </w:rPr>
        <w:t>宁波市</w:t>
      </w:r>
      <w:r>
        <w:rPr>
          <w:rFonts w:hint="eastAsia" w:ascii="仿宋_GB2312" w:hAnsi="宋体" w:eastAsia="仿宋_GB2312"/>
          <w:sz w:val="32"/>
          <w:szCs w:val="32"/>
        </w:rPr>
        <w:t>级以上重点项目直接配置计划指标外，</w:t>
      </w:r>
      <w:r>
        <w:rPr>
          <w:rFonts w:hint="eastAsia" w:ascii="仿宋_GB2312" w:hAnsi="宋体" w:eastAsia="仿宋_GB2312"/>
          <w:sz w:val="32"/>
          <w:szCs w:val="32"/>
          <w:lang w:eastAsia="zh-CN"/>
        </w:rPr>
        <w:t>其他</w:t>
      </w:r>
      <w:r>
        <w:rPr>
          <w:rFonts w:hint="eastAsia" w:ascii="仿宋_GB2312" w:hAnsi="宋体" w:eastAsia="仿宋_GB2312"/>
          <w:sz w:val="32"/>
          <w:szCs w:val="32"/>
        </w:rPr>
        <w:t>一般项目用地指标与存量土地处置完全挂钩，是指标唯一来源</w:t>
      </w:r>
      <w:r>
        <w:rPr>
          <w:rFonts w:hint="eastAsia" w:ascii="仿宋_GB2312" w:hAnsi="宋体" w:eastAsia="仿宋_GB2312"/>
          <w:sz w:val="32"/>
          <w:szCs w:val="32"/>
          <w:lang w:eastAsia="zh-CN"/>
        </w:rPr>
        <w:t>；同时</w:t>
      </w:r>
      <w:r>
        <w:rPr>
          <w:rFonts w:hint="eastAsia" w:ascii="仿宋_GB2312" w:hAnsi="Calibri" w:eastAsia="仿宋_GB2312"/>
          <w:b w:val="0"/>
          <w:bCs w:val="0"/>
          <w:color w:val="auto"/>
          <w:sz w:val="32"/>
          <w:szCs w:val="32"/>
          <w:lang w:eastAsia="zh-CN"/>
        </w:rPr>
        <w:t>要求</w:t>
      </w:r>
      <w:r>
        <w:rPr>
          <w:rFonts w:hint="eastAsia" w:ascii="仿宋_GB2312" w:hAnsi="宋体" w:eastAsia="仿宋_GB2312"/>
          <w:sz w:val="32"/>
          <w:szCs w:val="32"/>
          <w:lang w:val="en-US" w:eastAsia="zh-CN"/>
        </w:rPr>
        <w:t>“土地要素跟着项目走”，</w:t>
      </w:r>
      <w:r>
        <w:rPr>
          <w:rFonts w:hint="eastAsia" w:ascii="仿宋_GB2312" w:hAnsi="宋体" w:eastAsia="仿宋_GB2312"/>
          <w:sz w:val="32"/>
          <w:szCs w:val="32"/>
          <w:lang w:eastAsia="zh-CN"/>
        </w:rPr>
        <w:t>基础设施、社会公建类项目</w:t>
      </w:r>
      <w:r>
        <w:rPr>
          <w:rFonts w:hint="eastAsia" w:ascii="仿宋_GB2312" w:hAnsi="宋体" w:eastAsia="仿宋_GB2312"/>
          <w:sz w:val="32"/>
          <w:szCs w:val="32"/>
          <w:lang w:val="en-US" w:eastAsia="zh-CN"/>
        </w:rPr>
        <w:t>要明确具体项目，并纳入城镇开发边界划定方案拟实施的近期重大工程清单，产业类项目要符合国家和省产业政策，除农村一二三产业融合发展用地，其余产业项目须选址在城镇开发边界的工业区块内。</w:t>
      </w:r>
      <w:r>
        <w:rPr>
          <w:rFonts w:hint="eastAsia" w:ascii="仿宋_GB2312" w:hAnsi="Calibri" w:eastAsia="仿宋_GB2312"/>
          <w:b w:val="0"/>
          <w:bCs w:val="0"/>
          <w:color w:val="auto"/>
          <w:sz w:val="32"/>
          <w:szCs w:val="32"/>
          <w:lang w:eastAsia="zh-CN"/>
        </w:rPr>
        <w:t>下阶段，我局将根据上级部门要求</w:t>
      </w:r>
      <w:r>
        <w:rPr>
          <w:rFonts w:hint="eastAsia" w:ascii="仿宋_GB2312" w:hAnsi="仿宋_GB2312" w:eastAsia="仿宋_GB2312" w:cs="仿宋_GB2312"/>
          <w:color w:val="auto"/>
          <w:sz w:val="32"/>
          <w:szCs w:val="32"/>
          <w:lang w:val="en-US" w:eastAsia="zh-CN"/>
        </w:rPr>
        <w:t>全面实施“增存挂钩”机制，</w:t>
      </w:r>
      <w:r>
        <w:rPr>
          <w:rFonts w:hint="eastAsia" w:ascii="仿宋_GB2312" w:hAnsi="仿宋_GB2312" w:eastAsia="仿宋_GB2312" w:cs="仿宋_GB2312"/>
          <w:sz w:val="32"/>
          <w:szCs w:val="32"/>
          <w:lang w:eastAsia="zh-CN"/>
        </w:rPr>
        <w:t>建立完善</w:t>
      </w:r>
      <w:r>
        <w:rPr>
          <w:rFonts w:hint="eastAsia" w:ascii="仿宋_GB2312" w:hAnsi="仿宋_GB2312" w:eastAsia="仿宋_GB2312" w:cs="仿宋_GB2312"/>
          <w:sz w:val="32"/>
          <w:szCs w:val="32"/>
        </w:rPr>
        <w:t>以项目定指标的</w:t>
      </w:r>
      <w:r>
        <w:rPr>
          <w:rFonts w:hint="eastAsia" w:ascii="仿宋_GB2312" w:hAnsi="仿宋_GB2312" w:eastAsia="仿宋_GB2312" w:cs="仿宋_GB2312"/>
          <w:sz w:val="32"/>
          <w:szCs w:val="32"/>
          <w:lang w:eastAsia="zh-CN"/>
        </w:rPr>
        <w:t>要素</w:t>
      </w:r>
      <w:r>
        <w:rPr>
          <w:rFonts w:hint="eastAsia" w:ascii="仿宋_GB2312" w:hAnsi="仿宋_GB2312" w:eastAsia="仿宋_GB2312" w:cs="仿宋_GB2312"/>
          <w:sz w:val="32"/>
          <w:szCs w:val="32"/>
        </w:rPr>
        <w:t>精准配置机制</w:t>
      </w:r>
      <w:r>
        <w:rPr>
          <w:rFonts w:hint="eastAsia" w:ascii="仿宋_GB2312" w:hAnsi="仿宋_GB2312" w:eastAsia="仿宋_GB2312" w:cs="仿宋_GB2312"/>
          <w:sz w:val="32"/>
          <w:szCs w:val="32"/>
          <w:lang w:eastAsia="zh-CN"/>
        </w:rPr>
        <w:t>，落实“要素跟着项目走”原则，同时</w:t>
      </w:r>
      <w:r>
        <w:rPr>
          <w:rFonts w:hint="eastAsia" w:eastAsia="仿宋_GB2312"/>
          <w:sz w:val="32"/>
          <w:szCs w:val="32"/>
          <w:lang w:eastAsia="zh-CN"/>
        </w:rPr>
        <w:t>对市级</w:t>
      </w:r>
      <w:r>
        <w:rPr>
          <w:rFonts w:hint="eastAsia" w:eastAsia="仿宋_GB2312"/>
          <w:sz w:val="32"/>
          <w:szCs w:val="32"/>
        </w:rPr>
        <w:t>旅游</w:t>
      </w:r>
      <w:r>
        <w:rPr>
          <w:rFonts w:hint="eastAsia" w:eastAsia="仿宋_GB2312"/>
          <w:sz w:val="32"/>
          <w:szCs w:val="32"/>
          <w:lang w:eastAsia="zh-CN"/>
        </w:rPr>
        <w:t>开发重大</w:t>
      </w:r>
      <w:r>
        <w:rPr>
          <w:rFonts w:hint="eastAsia" w:eastAsia="仿宋_GB2312"/>
          <w:sz w:val="32"/>
          <w:szCs w:val="32"/>
        </w:rPr>
        <w:t>项目</w:t>
      </w:r>
      <w:r>
        <w:rPr>
          <w:rFonts w:hint="eastAsia" w:ascii="仿宋_GB2312" w:hAnsi="仿宋_GB2312" w:eastAsia="仿宋_GB2312" w:cs="仿宋_GB2312"/>
          <w:sz w:val="32"/>
          <w:szCs w:val="32"/>
          <w:lang w:val="en-US" w:eastAsia="zh-CN"/>
        </w:rPr>
        <w:t>实行“一项目一员一档”个性管理，</w:t>
      </w:r>
      <w:r>
        <w:rPr>
          <w:rFonts w:hint="eastAsia" w:ascii="仿宋_GB2312" w:eastAsia="仿宋_GB2312"/>
          <w:sz w:val="32"/>
          <w:szCs w:val="32"/>
          <w:lang w:eastAsia="zh-CN"/>
        </w:rPr>
        <w:t>安排</w:t>
      </w:r>
      <w:r>
        <w:rPr>
          <w:rFonts w:hint="eastAsia" w:ascii="仿宋_GB2312" w:eastAsia="仿宋_GB2312"/>
          <w:sz w:val="32"/>
          <w:szCs w:val="32"/>
        </w:rPr>
        <w:t>专人</w:t>
      </w:r>
      <w:r>
        <w:rPr>
          <w:rFonts w:hint="eastAsia" w:ascii="仿宋_GB2312" w:eastAsia="仿宋_GB2312"/>
          <w:sz w:val="32"/>
          <w:szCs w:val="32"/>
          <w:lang w:eastAsia="zh-CN"/>
        </w:rPr>
        <w:t>全程</w:t>
      </w:r>
      <w:r>
        <w:rPr>
          <w:rFonts w:hint="eastAsia" w:ascii="仿宋_GB2312" w:eastAsia="仿宋_GB2312"/>
          <w:sz w:val="32"/>
          <w:szCs w:val="32"/>
        </w:rPr>
        <w:t>跟进项目，</w:t>
      </w:r>
      <w:r>
        <w:rPr>
          <w:rFonts w:hint="eastAsia" w:ascii="仿宋_GB2312" w:eastAsia="仿宋_GB2312"/>
          <w:sz w:val="32"/>
          <w:szCs w:val="32"/>
          <w:lang w:val="en-US" w:eastAsia="zh-CN"/>
        </w:rPr>
        <w:t>通过“一对一”精准帮扶</w:t>
      </w:r>
      <w:r>
        <w:rPr>
          <w:rFonts w:hint="eastAsia" w:ascii="仿宋_GB2312" w:eastAsia="仿宋_GB2312"/>
          <w:sz w:val="32"/>
          <w:szCs w:val="32"/>
        </w:rPr>
        <w:t>主动</w:t>
      </w:r>
      <w:r>
        <w:rPr>
          <w:rFonts w:hint="eastAsia" w:ascii="仿宋_GB2312" w:eastAsia="仿宋_GB2312"/>
          <w:sz w:val="32"/>
          <w:szCs w:val="32"/>
          <w:lang w:eastAsia="zh-CN"/>
        </w:rPr>
        <w:t>上门做好业务指导、上门服务等工作，</w:t>
      </w:r>
      <w:r>
        <w:rPr>
          <w:rFonts w:hint="eastAsia" w:ascii="仿宋_GB2312" w:hAnsi="宋体" w:eastAsia="仿宋_GB2312"/>
          <w:sz w:val="32"/>
          <w:szCs w:val="32"/>
          <w:lang w:eastAsia="zh-CN"/>
        </w:rPr>
        <w:t>建议旅游开发用地项目明确项目类型，做好立项、选址和预审等前期准备工作</w:t>
      </w:r>
      <w:r>
        <w:rPr>
          <w:rFonts w:hint="eastAsia" w:ascii="仿宋_GB2312" w:hAnsi="仿宋_GB2312" w:eastAsia="仿宋_GB2312" w:cs="仿宋_GB2312"/>
          <w:sz w:val="32"/>
          <w:szCs w:val="32"/>
          <w:lang w:eastAsia="zh-CN"/>
        </w:rPr>
        <w:t>，对前期成熟、符合上级要求的旅游项目我局在制定年度用地计划时将给予重点倾斜保障，大力支持我市旅游产业发展</w:t>
      </w:r>
      <w:r>
        <w:rPr>
          <w:rFonts w:hint="eastAsia" w:ascii="仿宋_GB2312" w:hAnsi="宋体" w:eastAsia="仿宋_GB2312"/>
          <w:sz w:val="32"/>
          <w:szCs w:val="32"/>
          <w:lang w:eastAsia="zh-CN"/>
        </w:rPr>
        <w:t>。</w:t>
      </w:r>
    </w:p>
    <w:p>
      <w:pPr>
        <w:pStyle w:val="3"/>
        <w:spacing w:before="0" w:beforeAutospacing="0" w:after="0" w:afterAutospacing="0" w:line="560" w:lineRule="exact"/>
        <w:ind w:firstLine="640" w:firstLineChars="200"/>
        <w:rPr>
          <w:rFonts w:hint="eastAsia" w:ascii="仿宋_GB2312" w:hAnsi="仿宋_GB2312" w:eastAsia="仿宋_GB2312" w:cs="仿宋_GB2312"/>
          <w:sz w:val="32"/>
          <w:szCs w:val="32"/>
          <w:lang w:eastAsia="zh-CN"/>
        </w:rPr>
      </w:pPr>
      <w:bookmarkStart w:id="0" w:name="_GoBack"/>
      <w:bookmarkEnd w:id="0"/>
    </w:p>
    <w:p>
      <w:pPr>
        <w:pStyle w:val="3"/>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特此致函</w:t>
      </w:r>
    </w:p>
    <w:p>
      <w:pPr>
        <w:spacing w:line="560" w:lineRule="exact"/>
        <w:ind w:firstLine="645"/>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lang w:eastAsia="zh-CN"/>
        </w:rPr>
      </w:pPr>
      <w:r>
        <w:rPr>
          <w:rFonts w:hint="eastAsia" w:ascii="仿宋_GB2312" w:eastAsia="仿宋_GB2312"/>
          <w:sz w:val="32"/>
        </w:rPr>
        <w:t>　　　　　　　　　　　　　</w:t>
      </w:r>
      <w:r>
        <w:rPr>
          <w:rFonts w:hint="eastAsia" w:ascii="仿宋_GB2312" w:eastAsia="仿宋_GB2312"/>
          <w:sz w:val="32"/>
          <w:lang w:eastAsia="zh-CN"/>
        </w:rPr>
        <w:t>慈溪市自然资源和规划局</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2021</w:t>
      </w:r>
      <w:r>
        <w:rPr>
          <w:rFonts w:hint="eastAsia" w:ascii="仿宋_GB2312" w:eastAsia="仿宋_GB2312"/>
          <w:sz w:val="32"/>
        </w:rPr>
        <w:t>年</w:t>
      </w: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10</w:t>
      </w:r>
      <w:r>
        <w:rPr>
          <w:rFonts w:hint="eastAsia" w:ascii="仿宋_GB2312" w:eastAsia="仿宋_GB2312"/>
          <w:sz w:val="32"/>
        </w:rPr>
        <w:t>日</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eastAsia="zh-CN"/>
        </w:rPr>
        <w:t>施秧秧</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宋体" w:eastAsia="仿宋_GB2312"/>
          <w:sz w:val="32"/>
          <w:szCs w:val="32"/>
          <w:lang w:val="en-US"/>
        </w:rPr>
        <w:sectPr>
          <w:headerReference r:id="rId3" w:type="default"/>
          <w:pgSz w:w="11906" w:h="16838"/>
          <w:pgMar w:top="2098" w:right="1474" w:bottom="1985" w:left="1588" w:header="851" w:footer="992" w:gutter="0"/>
          <w:cols w:space="720" w:num="1"/>
          <w:docGrid w:type="lines" w:linePitch="312" w:charSpace="0"/>
        </w:sectPr>
      </w:pPr>
      <w:r>
        <w:rPr>
          <w:rFonts w:hint="eastAsia" w:ascii="仿宋_GB2312" w:eastAsia="仿宋_GB2312"/>
          <w:sz w:val="32"/>
        </w:rPr>
        <w:t>　　联系电话：</w:t>
      </w:r>
      <w:r>
        <w:rPr>
          <w:rFonts w:hint="eastAsia" w:ascii="仿宋_GB2312" w:eastAsia="仿宋_GB2312"/>
          <w:sz w:val="32"/>
          <w:lang w:val="en-US" w:eastAsia="zh-CN"/>
        </w:rPr>
        <w:t>67001108</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人大</w:t>
      </w:r>
      <w:r>
        <w:rPr>
          <w:rFonts w:hint="eastAsia" w:ascii="仿宋_GB2312" w:hAnsi="仿宋_GB2312" w:eastAsia="仿宋_GB2312" w:cs="仿宋_GB2312"/>
          <w:sz w:val="32"/>
          <w:szCs w:val="32"/>
          <w:lang w:val="en-US" w:eastAsia="zh-CN"/>
        </w:rPr>
        <w:t>278</w:t>
      </w:r>
    </w:p>
    <w:p>
      <w:pPr>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60CBD"/>
    <w:rsid w:val="0F81079D"/>
    <w:rsid w:val="30760CBD"/>
    <w:rsid w:val="4D352F5B"/>
    <w:rsid w:val="6B1B59AB"/>
    <w:rsid w:val="71A0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2021-05-06T02:32:00Z</dcterms:created>
  <dc:creator>聪聪(^.^)CC</dc:creator>
  <cp:lastModifiedBy>聪聪(^.^)CC</cp:lastModifiedBy>
  <dcterms:modified xsi:type="dcterms:W3CDTF">2021-05-07T07:07:44Z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