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类别号标记：</w:t>
      </w:r>
      <w:r>
        <w:rPr>
          <w:rFonts w:hint="eastAsia" w:ascii="黑体" w:eastAsia="黑体"/>
          <w:sz w:val="32"/>
          <w:lang w:val="en-US" w:eastAsia="zh-CN"/>
        </w:rPr>
        <w:t>A</w:t>
      </w:r>
    </w:p>
    <w:p>
      <w:pPr>
        <w:pStyle w:val="11"/>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right"/>
        <w:textAlignment w:val="auto"/>
        <w:rPr>
          <w:rFonts w:hint="eastAsia" w:ascii="黑体" w:hAnsi="黑体" w:eastAsia="黑体" w:cs="黑体"/>
          <w:i w:val="0"/>
          <w:caps w:val="0"/>
          <w:color w:val="000000"/>
          <w:spacing w:val="0"/>
          <w:sz w:val="32"/>
          <w:szCs w:val="32"/>
          <w:shd w:val="clear" w:color="auto" w:fill="FFFFFF"/>
          <w:lang w:val="en-US" w:eastAsia="zh-CN"/>
        </w:rPr>
      </w:pPr>
    </w:p>
    <w:p>
      <w:pPr>
        <w:widowControl/>
        <w:jc w:val="center"/>
        <w:rPr>
          <w:rFonts w:hint="eastAsia" w:ascii="方正小标宋简体" w:hAnsi="方正小标宋简体" w:eastAsia="方正小标宋简体" w:cs="方正小标宋简体"/>
          <w:color w:val="FF0000"/>
          <w:spacing w:val="57"/>
          <w:kern w:val="0"/>
          <w:sz w:val="84"/>
          <w:szCs w:val="84"/>
          <w:lang w:eastAsia="zh-CN"/>
        </w:rPr>
      </w:pPr>
      <w:r>
        <w:rPr>
          <w:rFonts w:hint="eastAsia" w:ascii="方正小标宋简体" w:hAnsi="方正小标宋简体" w:eastAsia="方正小标宋简体" w:cs="方正小标宋简体"/>
          <w:color w:val="FF0000"/>
          <w:spacing w:val="57"/>
          <w:kern w:val="0"/>
          <w:sz w:val="84"/>
          <w:szCs w:val="84"/>
          <w:lang w:eastAsia="zh-CN"/>
        </w:rPr>
        <w:t>慈溪市商务局文件</w:t>
      </w:r>
    </w:p>
    <w:p>
      <w:pPr>
        <w:widowControl/>
        <w:ind w:firstLine="320" w:firstLineChars="100"/>
        <w:jc w:val="both"/>
        <w:rPr>
          <w:rFonts w:hint="eastAsia" w:ascii="仿宋_GB2312" w:hAnsi="仿宋_GB2312" w:eastAsia="仿宋_GB2312" w:cs="仿宋_GB2312"/>
          <w:color w:val="000000"/>
          <w:kern w:val="0"/>
          <w:sz w:val="32"/>
          <w:szCs w:val="32"/>
        </w:rPr>
      </w:pPr>
    </w:p>
    <w:p>
      <w:pPr>
        <w:pStyle w:val="10"/>
        <w:rPr>
          <w:rFonts w:hint="eastAsia"/>
        </w:rPr>
      </w:pPr>
    </w:p>
    <w:p>
      <w:pPr>
        <w:widowControl/>
        <w:ind w:firstLine="320" w:firstLineChars="1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慈</w:t>
      </w:r>
      <w:r>
        <w:rPr>
          <w:rFonts w:hint="eastAsia" w:ascii="仿宋_GB2312" w:hAnsi="仿宋_GB2312" w:eastAsia="仿宋_GB2312" w:cs="仿宋_GB2312"/>
          <w:color w:val="000000"/>
          <w:kern w:val="0"/>
          <w:sz w:val="32"/>
          <w:szCs w:val="32"/>
          <w:lang w:val="en-US" w:eastAsia="zh-CN"/>
        </w:rPr>
        <w:t>商务建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2024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val="en-US" w:eastAsia="zh-CN"/>
        </w:rPr>
        <w:t xml:space="preserve">                 签发人：</w:t>
      </w:r>
      <w:r>
        <w:rPr>
          <w:rFonts w:hint="eastAsia" w:ascii="楷体" w:hAnsi="楷体" w:eastAsia="楷体" w:cs="楷体"/>
          <w:sz w:val="32"/>
          <w:lang w:eastAsia="zh-CN"/>
        </w:rPr>
        <w:t>励立丰</w:t>
      </w:r>
    </w:p>
    <w:p>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56483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4832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05pt;height:0.05pt;width:444.75pt;z-index:251659264;mso-width-relative:page;mso-height-relative:page;" filled="f" stroked="t" coordsize="21600,21600" o:gfxdata="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jvRvy0wAAAAIBAAAPAAAAAAAAAAEA&#10;IAAAADgAAABkcnMvZG93bnJldi54bWxQSwECFAAUAAAACACHTuJAeI2DcP4BAAD1AwAADgAAAAAA&#10;AAABACAAAAA4AQAAZHJzL2Uyb0RvYy54bWxQSwUGAAAAAAYABgBZAQAAqAUAAAAA&#10;">
                <v:fill on="f" focussize="0,0"/>
                <v:stroke weight="1.5pt" color="#FF0000" joinstyle="round"/>
                <v:imagedata o:title=""/>
                <o:lock v:ext="edit" aspectratio="f"/>
              </v:line>
            </w:pict>
          </mc:Fallback>
        </mc:AlternateContent>
      </w:r>
    </w:p>
    <w:p>
      <w:pPr>
        <w:widowControl/>
        <w:adjustRightInd w:val="0"/>
        <w:snapToGrid w:val="0"/>
        <w:spacing w:line="420" w:lineRule="exact"/>
        <w:rPr>
          <w:rFonts w:ascii="方正小标宋简体" w:eastAsia="方正小标宋简体"/>
          <w:b/>
          <w:sz w:val="36"/>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0"/>
        <w:jc w:val="center"/>
        <w:textAlignment w:val="auto"/>
        <w:rPr>
          <w:rFonts w:hint="eastAsia" w:ascii="方正小标宋简体" w:hAnsi="方正小标宋简体" w:eastAsia="方正小标宋简体" w:cs="方正小标宋简体"/>
          <w:b/>
          <w:bCs/>
          <w:i w:val="0"/>
          <w:caps w:val="0"/>
          <w:color w:val="auto"/>
          <w:spacing w:val="0"/>
          <w:kern w:val="0"/>
          <w:sz w:val="36"/>
          <w:szCs w:val="36"/>
          <w:lang w:val="en-US" w:eastAsia="zh-CN" w:bidi="ar"/>
        </w:rPr>
      </w:pPr>
      <w:bookmarkStart w:id="0" w:name="_GoBack"/>
      <w:r>
        <w:rPr>
          <w:rFonts w:hint="eastAsia" w:ascii="方正小标宋简体" w:hAnsi="方正小标宋简体" w:eastAsia="方正小标宋简体" w:cs="方正小标宋简体"/>
          <w:b/>
          <w:bCs/>
          <w:i w:val="0"/>
          <w:caps w:val="0"/>
          <w:color w:val="auto"/>
          <w:spacing w:val="0"/>
          <w:kern w:val="0"/>
          <w:sz w:val="36"/>
          <w:szCs w:val="36"/>
          <w:lang w:val="en-US" w:eastAsia="zh-CN" w:bidi="ar"/>
        </w:rPr>
        <w:t>对市十八届人大三次会议第69号建议的答复</w:t>
      </w:r>
      <w:bookmarkEnd w:id="0"/>
    </w:p>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罗国明代表：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首先感谢您对我市外向型经济发展的关心和支持。您提出的《关于拓展外贸出口的建议》的</w:t>
      </w:r>
      <w:r>
        <w:rPr>
          <w:rFonts w:hint="eastAsia" w:ascii="仿宋" w:hAnsi="仿宋" w:eastAsia="仿宋" w:cs="仿宋"/>
          <w:sz w:val="32"/>
          <w:szCs w:val="32"/>
          <w:lang w:val="en-US" w:eastAsia="zh-CN"/>
        </w:rPr>
        <w:t>建议</w:t>
      </w:r>
      <w:r>
        <w:rPr>
          <w:rFonts w:hint="eastAsia" w:ascii="仿宋" w:hAnsi="仿宋" w:eastAsia="仿宋" w:cs="仿宋"/>
          <w:sz w:val="32"/>
          <w:szCs w:val="32"/>
        </w:rPr>
        <w:t>收悉，我局会同有关单位进行了专题研究，认为</w:t>
      </w:r>
      <w:r>
        <w:rPr>
          <w:rFonts w:hint="eastAsia" w:ascii="仿宋" w:hAnsi="仿宋" w:eastAsia="仿宋" w:cs="仿宋"/>
          <w:sz w:val="32"/>
          <w:szCs w:val="32"/>
          <w:lang w:val="en-US" w:eastAsia="zh-CN"/>
        </w:rPr>
        <w:t>建议</w:t>
      </w:r>
      <w:r>
        <w:rPr>
          <w:rFonts w:hint="eastAsia" w:ascii="仿宋" w:hAnsi="仿宋" w:eastAsia="仿宋" w:cs="仿宋"/>
          <w:sz w:val="32"/>
          <w:szCs w:val="32"/>
        </w:rPr>
        <w:t>立意高远、剖析深刻、切合实际、针对性强，对于我们下步开展相关工作很有启发和帮助，现答复如下。</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rPr>
          <w:rFonts w:ascii="黑体" w:hAnsi="黑体" w:eastAsia="黑体" w:cs="黑体"/>
          <w:sz w:val="32"/>
          <w:szCs w:val="32"/>
        </w:rPr>
      </w:pPr>
      <w:r>
        <w:rPr>
          <w:rFonts w:hint="eastAsia" w:ascii="黑体" w:hAnsi="黑体" w:eastAsia="黑体" w:cs="黑体"/>
          <w:sz w:val="32"/>
          <w:szCs w:val="32"/>
        </w:rPr>
        <w:t>一、目前工作开展情况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整体形势分析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体来看，我市外贸底子扎实，韧性强，多年来为全市经济社会发展提供了重要支撑。2023年是疫情完全开放的发展之年，也是局部战争频发的动荡之年，更是地缘政治加剧的割裂之年。面对复杂形势，我市急企业之所急，想企业之所想，结合实际，精准施策，为我市企业发展提供了巨大助力。我市积极实施“百团千企万人”拓市场促招引行动，确定境内外重点展会超百个，累计组织企业参加境内外各类展会超1000家次；面对红海危机，第一时间组建慈溪市应对红海航线受阻问题工作专班，公布服务热线和航运信息，及时回应企业诉求，为我市企业出口保驾护航；广交会、华交会等参展企业数量创历史新高，慈溪</w:t>
      </w:r>
      <w:r>
        <w:rPr>
          <w:rFonts w:hint="eastAsia" w:ascii="仿宋" w:hAnsi="仿宋" w:eastAsia="仿宋" w:cs="仿宋"/>
          <w:sz w:val="32"/>
          <w:szCs w:val="32"/>
          <w:lang w:eastAsia="zh-CN"/>
        </w:rPr>
        <w:t>市</w:t>
      </w:r>
      <w:r>
        <w:rPr>
          <w:rFonts w:hint="eastAsia" w:ascii="仿宋" w:hAnsi="仿宋" w:eastAsia="仿宋" w:cs="仿宋"/>
          <w:sz w:val="32"/>
          <w:szCs w:val="32"/>
        </w:rPr>
        <w:t>外贸服务中心、长三角数字贸易综合服务平台、家电互联产销对接平台、涉外商事法律服务平台等平台作用持续凸显。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在市外贸战线的共同努力下，面对全球</w:t>
      </w:r>
      <w:r>
        <w:rPr>
          <w:rFonts w:hint="eastAsia" w:ascii="仿宋" w:hAnsi="仿宋" w:eastAsia="仿宋" w:cs="仿宋"/>
          <w:sz w:val="32"/>
          <w:szCs w:val="32"/>
          <w:lang w:eastAsia="zh-CN"/>
        </w:rPr>
        <w:t>经济</w:t>
      </w:r>
      <w:r>
        <w:rPr>
          <w:rFonts w:hint="eastAsia" w:ascii="仿宋" w:hAnsi="仿宋" w:eastAsia="仿宋" w:cs="仿宋"/>
          <w:sz w:val="32"/>
          <w:szCs w:val="32"/>
        </w:rPr>
        <w:t>形势下行以及地缘摩擦的加剧，我市外贸最终顶住压力，深入发展。全市外贸总量创历史新高，进出口增速取得新突破</w:t>
      </w:r>
      <w:r>
        <w:rPr>
          <w:rFonts w:hint="eastAsia" w:ascii="仿宋" w:hAnsi="仿宋" w:eastAsia="仿宋" w:cs="仿宋"/>
          <w:sz w:val="32"/>
          <w:szCs w:val="32"/>
          <w:lang w:eastAsia="zh-CN"/>
        </w:rPr>
        <w:t>，</w:t>
      </w:r>
      <w:r>
        <w:rPr>
          <w:rFonts w:hint="eastAsia" w:ascii="仿宋" w:hAnsi="仿宋" w:eastAsia="仿宋" w:cs="仿宋"/>
          <w:sz w:val="32"/>
          <w:szCs w:val="32"/>
        </w:rPr>
        <w:t>结构实现新优化，展现了较强韧性。</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eastAsia="zh-CN"/>
        </w:rPr>
        <w:t>全市实现外贸</w:t>
      </w:r>
      <w:r>
        <w:rPr>
          <w:rFonts w:hint="eastAsia" w:ascii="仿宋" w:hAnsi="仿宋" w:eastAsia="仿宋" w:cs="仿宋"/>
          <w:sz w:val="32"/>
          <w:szCs w:val="32"/>
        </w:rPr>
        <w:t>进出口总额1223.3亿元，同比增长8.7%。其中出口1053.3亿元，增长6.2%，进口169.9亿元，增长27%。慈溪市本级实现进出口853.3亿元，同比增长4.5%。其中出口804.6亿元，进口48.7亿元，分别增长4.6%和2.7%。全市和市本级出口、进口、进出口增速全面高于全国和宁波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今年1-4月，慈溪全市实现外贸进出口总额390亿元，同比增长9.6%，其中出口346.5亿元，增长9.0%，进口43.6亿元，增长15.2%。市本级实现进出口270亿元，增长2.6%，其中出口255.2亿元，增长2.8%、进口14.7亿元，与</w:t>
      </w:r>
      <w:r>
        <w:rPr>
          <w:rFonts w:hint="eastAsia" w:ascii="仿宋" w:hAnsi="仿宋" w:eastAsia="仿宋" w:cs="仿宋"/>
          <w:sz w:val="32"/>
          <w:szCs w:val="32"/>
          <w:lang w:eastAsia="zh-CN"/>
        </w:rPr>
        <w:t>上年</w:t>
      </w:r>
      <w:r>
        <w:rPr>
          <w:rFonts w:hint="eastAsia" w:ascii="仿宋" w:hAnsi="仿宋" w:eastAsia="仿宋" w:cs="仿宋"/>
          <w:sz w:val="32"/>
          <w:szCs w:val="32"/>
        </w:rPr>
        <w:t>同期持平。面对越发复杂的中美贸易摩擦、俄罗斯结汇困难、海运费用上涨等问题，深化拓展外贸出口重要</w:t>
      </w:r>
      <w:r>
        <w:rPr>
          <w:rFonts w:hint="eastAsia" w:ascii="仿宋" w:hAnsi="仿宋" w:eastAsia="仿宋" w:cs="仿宋"/>
          <w:sz w:val="32"/>
          <w:szCs w:val="32"/>
          <w:lang w:eastAsia="zh-CN"/>
        </w:rPr>
        <w:t>性</w:t>
      </w:r>
      <w:r>
        <w:rPr>
          <w:rFonts w:hint="eastAsia" w:ascii="仿宋" w:hAnsi="仿宋" w:eastAsia="仿宋" w:cs="仿宋"/>
          <w:sz w:val="32"/>
          <w:szCs w:val="32"/>
        </w:rPr>
        <w:t>越发</w:t>
      </w:r>
      <w:r>
        <w:rPr>
          <w:rFonts w:hint="eastAsia" w:ascii="仿宋" w:hAnsi="仿宋" w:eastAsia="仿宋" w:cs="仿宋"/>
          <w:sz w:val="32"/>
          <w:szCs w:val="32"/>
          <w:lang w:eastAsia="zh-CN"/>
        </w:rPr>
        <w:t>凸显</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落实政策补助工作。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以</w:t>
      </w:r>
      <w:r>
        <w:rPr>
          <w:rFonts w:hint="eastAsia" w:ascii="仿宋" w:hAnsi="仿宋" w:eastAsia="仿宋" w:cs="仿宋"/>
          <w:sz w:val="32"/>
          <w:szCs w:val="32"/>
        </w:rPr>
        <w:t>来，我市积极</w:t>
      </w:r>
      <w:r>
        <w:rPr>
          <w:rFonts w:hint="eastAsia" w:ascii="仿宋" w:hAnsi="仿宋" w:eastAsia="仿宋" w:cs="仿宋"/>
          <w:sz w:val="32"/>
          <w:szCs w:val="32"/>
          <w:lang w:eastAsia="zh-CN"/>
        </w:rPr>
        <w:t>开展</w:t>
      </w:r>
      <w:r>
        <w:rPr>
          <w:rFonts w:hint="eastAsia" w:ascii="仿宋" w:hAnsi="仿宋" w:eastAsia="仿宋" w:cs="仿宋"/>
          <w:sz w:val="32"/>
          <w:szCs w:val="32"/>
        </w:rPr>
        <w:t>开放型经济扶持政策宣传、解答、资料收集、汇总等工作，完成开放型经济扶持</w:t>
      </w:r>
      <w:r>
        <w:rPr>
          <w:rFonts w:hint="eastAsia" w:ascii="仿宋" w:hAnsi="仿宋" w:eastAsia="仿宋" w:cs="仿宋"/>
          <w:sz w:val="32"/>
          <w:szCs w:val="32"/>
          <w:lang w:eastAsia="zh-CN"/>
        </w:rPr>
        <w:t>兑现，</w:t>
      </w:r>
      <w:r>
        <w:rPr>
          <w:rFonts w:hint="eastAsia" w:ascii="仿宋" w:hAnsi="仿宋" w:eastAsia="仿宋" w:cs="仿宋"/>
          <w:sz w:val="32"/>
          <w:szCs w:val="32"/>
        </w:rPr>
        <w:t>涉</w:t>
      </w:r>
      <w:r>
        <w:rPr>
          <w:rFonts w:hint="eastAsia" w:ascii="仿宋" w:hAnsi="仿宋" w:eastAsia="仿宋" w:cs="仿宋"/>
          <w:sz w:val="32"/>
          <w:szCs w:val="32"/>
          <w:lang w:eastAsia="zh-CN"/>
        </w:rPr>
        <w:t>奖</w:t>
      </w:r>
      <w:r>
        <w:rPr>
          <w:rFonts w:hint="eastAsia" w:ascii="仿宋" w:hAnsi="仿宋" w:eastAsia="仿宋" w:cs="仿宋"/>
          <w:sz w:val="32"/>
          <w:szCs w:val="32"/>
        </w:rPr>
        <w:t>企业</w:t>
      </w:r>
      <w:r>
        <w:rPr>
          <w:rFonts w:hint="eastAsia" w:ascii="仿宋" w:hAnsi="仿宋" w:eastAsia="仿宋" w:cs="仿宋"/>
          <w:sz w:val="32"/>
          <w:szCs w:val="32"/>
          <w:lang w:eastAsia="zh-CN"/>
        </w:rPr>
        <w:t>超</w:t>
      </w:r>
      <w:r>
        <w:rPr>
          <w:rFonts w:hint="eastAsia" w:ascii="仿宋" w:hAnsi="仿宋" w:eastAsia="仿宋" w:cs="仿宋"/>
          <w:sz w:val="32"/>
          <w:szCs w:val="32"/>
        </w:rPr>
        <w:t>12</w:t>
      </w:r>
      <w:r>
        <w:rPr>
          <w:rFonts w:hint="eastAsia" w:ascii="仿宋" w:hAnsi="仿宋" w:eastAsia="仿宋" w:cs="仿宋"/>
          <w:sz w:val="32"/>
          <w:szCs w:val="32"/>
          <w:lang w:val="en-US" w:eastAsia="zh-CN"/>
        </w:rPr>
        <w:t>00</w:t>
      </w:r>
      <w:r>
        <w:rPr>
          <w:rFonts w:hint="eastAsia" w:ascii="仿宋" w:hAnsi="仿宋" w:eastAsia="仿宋" w:cs="仿宋"/>
          <w:sz w:val="32"/>
          <w:szCs w:val="32"/>
        </w:rPr>
        <w:t>家次；完成2023年1-4月</w:t>
      </w:r>
      <w:r>
        <w:rPr>
          <w:rFonts w:hint="eastAsia" w:ascii="仿宋" w:hAnsi="仿宋" w:eastAsia="仿宋" w:cs="仿宋"/>
          <w:sz w:val="32"/>
          <w:szCs w:val="32"/>
          <w:lang w:eastAsia="zh-CN"/>
        </w:rPr>
        <w:t>宁波</w:t>
      </w:r>
      <w:r>
        <w:rPr>
          <w:rFonts w:hint="eastAsia" w:ascii="仿宋" w:hAnsi="仿宋" w:eastAsia="仿宋" w:cs="仿宋"/>
          <w:sz w:val="32"/>
          <w:szCs w:val="32"/>
        </w:rPr>
        <w:t>出境奖励政策审核</w:t>
      </w:r>
      <w:r>
        <w:rPr>
          <w:rFonts w:hint="eastAsia" w:ascii="仿宋" w:hAnsi="仿宋" w:eastAsia="仿宋" w:cs="仿宋"/>
          <w:sz w:val="32"/>
          <w:szCs w:val="32"/>
          <w:lang w:eastAsia="zh-CN"/>
        </w:rPr>
        <w:t>，</w:t>
      </w:r>
      <w:r>
        <w:rPr>
          <w:rFonts w:hint="eastAsia" w:ascii="仿宋" w:hAnsi="仿宋" w:eastAsia="仿宋" w:cs="仿宋"/>
          <w:sz w:val="32"/>
          <w:szCs w:val="32"/>
        </w:rPr>
        <w:t>通过172家次企业，共510人次；完成宁波市外贸高质量发展扶持资金的对接宣传工作；推动出台开放型经济扶持政策意见</w:t>
      </w:r>
      <w:r>
        <w:rPr>
          <w:rFonts w:hint="eastAsia" w:ascii="仿宋" w:hAnsi="仿宋" w:eastAsia="仿宋" w:cs="仿宋"/>
          <w:sz w:val="32"/>
          <w:szCs w:val="32"/>
          <w:lang w:eastAsia="zh-CN"/>
        </w:rPr>
        <w:t>和</w:t>
      </w:r>
      <w:r>
        <w:rPr>
          <w:rFonts w:hint="eastAsia" w:ascii="仿宋" w:hAnsi="仿宋" w:eastAsia="仿宋" w:cs="仿宋"/>
          <w:sz w:val="32"/>
          <w:szCs w:val="32"/>
        </w:rPr>
        <w:t>慈溪市专利、品牌、标准奖励实施细则</w:t>
      </w:r>
      <w:r>
        <w:rPr>
          <w:rFonts w:hint="eastAsia" w:ascii="仿宋" w:hAnsi="仿宋" w:eastAsia="仿宋" w:cs="仿宋"/>
          <w:sz w:val="32"/>
          <w:szCs w:val="32"/>
          <w:lang w:eastAsia="zh-CN"/>
        </w:rPr>
        <w:t>等政策</w:t>
      </w:r>
      <w:r>
        <w:rPr>
          <w:rFonts w:hint="eastAsia" w:ascii="仿宋" w:hAnsi="仿宋" w:eastAsia="仿宋" w:cs="仿宋"/>
          <w:sz w:val="32"/>
          <w:szCs w:val="32"/>
        </w:rPr>
        <w:t>，为</w:t>
      </w:r>
      <w:r>
        <w:rPr>
          <w:rFonts w:hint="eastAsia" w:ascii="仿宋" w:hAnsi="仿宋" w:eastAsia="仿宋" w:cs="仿宋"/>
          <w:sz w:val="32"/>
          <w:szCs w:val="32"/>
          <w:lang w:eastAsia="zh-CN"/>
        </w:rPr>
        <w:t>开放型经济发展和</w:t>
      </w:r>
      <w:r>
        <w:rPr>
          <w:rFonts w:hint="eastAsia" w:ascii="仿宋" w:hAnsi="仿宋" w:eastAsia="仿宋" w:cs="仿宋"/>
          <w:sz w:val="32"/>
          <w:szCs w:val="32"/>
        </w:rPr>
        <w:t>知识产权成果转化提供政策保障。2023年度为发明专利产业化项目18项兑付政策性奖励资金234.7万元；2024年新增关于人工智能大模型应用的相关政策，对于应用人工智能大模型开展的数字化项目，拟计划按额定投入的50%给予补助；释放政策红利，全力支持“专精特新”发展。加大“专精特新”企业AEO培育力度，统筹落实AEO企业海关便利化监管措施，帮助企业降低贸易成本。推广真空包装等高新技术货物布控查验模式，全面提升高新技术企业真空包装等货物通关效率，保障供应链稳定；指导企业专项研究；出台《加快培育“大优强、绿新高”企业的政策意见》，为推进企业专精特新发展，在宁波奖励专精特新“小巨人”基础上，对新获得宁波市“专精特新”中小企业也给予奖励；为推进“小巨人”企业快速成长，对专精特新“小巨人”企业营业收入同比增长10%以上进行分档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推进</w:t>
      </w:r>
      <w:r>
        <w:rPr>
          <w:rFonts w:hint="eastAsia" w:ascii="仿宋" w:hAnsi="仿宋" w:eastAsia="仿宋" w:cs="仿宋"/>
          <w:b/>
          <w:bCs/>
          <w:sz w:val="32"/>
          <w:szCs w:val="32"/>
          <w:lang w:eastAsia="zh-CN"/>
        </w:rPr>
        <w:t>服务</w:t>
      </w:r>
      <w:r>
        <w:rPr>
          <w:rFonts w:hint="eastAsia" w:ascii="仿宋" w:hAnsi="仿宋" w:eastAsia="仿宋" w:cs="仿宋"/>
          <w:b/>
          <w:bCs/>
          <w:sz w:val="32"/>
          <w:szCs w:val="32"/>
        </w:rPr>
        <w:t>促贸工作。</w:t>
      </w:r>
      <w:r>
        <w:rPr>
          <w:rFonts w:hint="eastAsia" w:ascii="仿宋" w:hAnsi="仿宋" w:eastAsia="仿宋" w:cs="仿宋"/>
          <w:sz w:val="32"/>
          <w:szCs w:val="32"/>
        </w:rPr>
        <w:t>自去年以来，我市发布各类培训信息，组织企业参加上级商务部门开展的各类线上培训，内容涉及RCEP政策宣讲、金融支持外贸企业政策等，同时，组织企业参加中国机电产品进出口商会、商务部培训中心等合作单位的线上培训，涉及国际经贸形势变化及企业的应对措施、局部战争形势下市场的挑战和机会等内容，及时解答企业有关政策兑现、出口信保、品牌建设、境外“走出去”、服务外包等问题，全力助企发展。</w:t>
      </w:r>
      <w:r>
        <w:rPr>
          <w:rFonts w:hint="eastAsia" w:ascii="仿宋" w:hAnsi="仿宋" w:eastAsia="仿宋" w:cs="仿宋"/>
          <w:sz w:val="32"/>
          <w:szCs w:val="32"/>
          <w:lang w:eastAsia="zh-CN"/>
        </w:rPr>
        <w:t>今</w:t>
      </w:r>
      <w:r>
        <w:rPr>
          <w:rFonts w:hint="eastAsia" w:ascii="仿宋" w:hAnsi="仿宋" w:eastAsia="仿宋" w:cs="仿宋"/>
          <w:sz w:val="32"/>
          <w:szCs w:val="32"/>
        </w:rPr>
        <w:t>年初以来，</w:t>
      </w:r>
      <w:r>
        <w:rPr>
          <w:rFonts w:hint="eastAsia" w:ascii="仿宋" w:hAnsi="仿宋" w:eastAsia="仿宋" w:cs="仿宋"/>
          <w:sz w:val="32"/>
          <w:szCs w:val="32"/>
          <w:lang w:eastAsia="zh-CN"/>
        </w:rPr>
        <w:t>持续</w:t>
      </w:r>
      <w:r>
        <w:rPr>
          <w:rFonts w:hint="eastAsia" w:ascii="仿宋" w:hAnsi="仿宋" w:eastAsia="仿宋" w:cs="仿宋"/>
          <w:sz w:val="32"/>
          <w:szCs w:val="32"/>
        </w:rPr>
        <w:t>引导企业主动参展，积极拓市。</w:t>
      </w:r>
      <w:r>
        <w:rPr>
          <w:rFonts w:hint="eastAsia" w:ascii="仿宋" w:hAnsi="仿宋" w:eastAsia="仿宋" w:cs="仿宋"/>
          <w:sz w:val="32"/>
          <w:szCs w:val="32"/>
          <w:lang w:eastAsia="zh-CN"/>
        </w:rPr>
        <w:t>顺利</w:t>
      </w:r>
      <w:r>
        <w:rPr>
          <w:rFonts w:hint="eastAsia" w:ascii="仿宋" w:hAnsi="仿宋" w:eastAsia="仿宋" w:cs="仿宋"/>
          <w:sz w:val="32"/>
          <w:szCs w:val="32"/>
        </w:rPr>
        <w:t>完成第135届广交会企业参展的各项</w:t>
      </w:r>
      <w:r>
        <w:rPr>
          <w:rFonts w:hint="eastAsia" w:ascii="仿宋" w:hAnsi="仿宋" w:eastAsia="仿宋" w:cs="仿宋"/>
          <w:sz w:val="32"/>
          <w:szCs w:val="32"/>
          <w:lang w:eastAsia="zh-CN"/>
        </w:rPr>
        <w:t>展务管理</w:t>
      </w:r>
      <w:r>
        <w:rPr>
          <w:rFonts w:hint="eastAsia" w:ascii="仿宋" w:hAnsi="仿宋" w:eastAsia="仿宋" w:cs="仿宋"/>
          <w:sz w:val="32"/>
          <w:szCs w:val="32"/>
        </w:rPr>
        <w:t>工作，做好第32届华交会</w:t>
      </w:r>
      <w:r>
        <w:rPr>
          <w:rFonts w:hint="eastAsia" w:ascii="仿宋" w:hAnsi="仿宋" w:eastAsia="仿宋" w:cs="仿宋"/>
          <w:sz w:val="32"/>
          <w:szCs w:val="32"/>
          <w:lang w:eastAsia="zh-CN"/>
        </w:rPr>
        <w:t>、</w:t>
      </w:r>
      <w:r>
        <w:rPr>
          <w:rFonts w:hint="eastAsia" w:ascii="仿宋" w:hAnsi="仿宋" w:eastAsia="仿宋" w:cs="仿宋"/>
          <w:sz w:val="32"/>
          <w:szCs w:val="32"/>
        </w:rPr>
        <w:t>第四届“海南消博会”的</w:t>
      </w:r>
      <w:r>
        <w:rPr>
          <w:rFonts w:hint="eastAsia" w:ascii="仿宋" w:hAnsi="仿宋" w:eastAsia="仿宋" w:cs="仿宋"/>
          <w:sz w:val="32"/>
          <w:szCs w:val="32"/>
          <w:lang w:eastAsia="zh-CN"/>
        </w:rPr>
        <w:t>展会的参与</w:t>
      </w:r>
      <w:r>
        <w:rPr>
          <w:rFonts w:hint="eastAsia" w:ascii="仿宋" w:hAnsi="仿宋" w:eastAsia="仿宋" w:cs="仿宋"/>
          <w:sz w:val="32"/>
          <w:szCs w:val="32"/>
        </w:rPr>
        <w:t>工作；配合宁波市商务部门完成外贸实效企业申报工作，卓力、月立等七家企业参与申报。</w:t>
      </w:r>
      <w:r>
        <w:rPr>
          <w:rFonts w:hint="eastAsia" w:ascii="仿宋" w:hAnsi="仿宋" w:eastAsia="仿宋" w:cs="仿宋"/>
          <w:color w:val="auto"/>
          <w:sz w:val="32"/>
          <w:szCs w:val="32"/>
          <w:u w:val="none"/>
        </w:rPr>
        <w:t>做好外国人来华邀请函的审批协调工作，1-</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月累计1</w:t>
      </w:r>
      <w:r>
        <w:rPr>
          <w:rFonts w:hint="eastAsia" w:ascii="仿宋" w:hAnsi="仿宋" w:eastAsia="仿宋" w:cs="仿宋"/>
          <w:color w:val="auto"/>
          <w:sz w:val="32"/>
          <w:szCs w:val="32"/>
          <w:u w:val="none"/>
          <w:lang w:val="en-US" w:eastAsia="zh-CN"/>
        </w:rPr>
        <w:t>69</w:t>
      </w:r>
      <w:r>
        <w:rPr>
          <w:rFonts w:hint="eastAsia" w:ascii="仿宋" w:hAnsi="仿宋" w:eastAsia="仿宋" w:cs="仿宋"/>
          <w:color w:val="auto"/>
          <w:sz w:val="32"/>
          <w:szCs w:val="32"/>
          <w:u w:val="none"/>
        </w:rPr>
        <w:t>家次2</w:t>
      </w:r>
      <w:r>
        <w:rPr>
          <w:rFonts w:hint="eastAsia" w:ascii="仿宋" w:hAnsi="仿宋" w:eastAsia="仿宋" w:cs="仿宋"/>
          <w:color w:val="auto"/>
          <w:sz w:val="32"/>
          <w:szCs w:val="32"/>
          <w:u w:val="none"/>
          <w:lang w:val="en-US" w:eastAsia="zh-CN"/>
        </w:rPr>
        <w:t>83</w:t>
      </w:r>
      <w:r>
        <w:rPr>
          <w:rFonts w:hint="eastAsia" w:ascii="仿宋" w:hAnsi="仿宋" w:eastAsia="仿宋" w:cs="仿宋"/>
          <w:color w:val="auto"/>
          <w:sz w:val="32"/>
          <w:szCs w:val="32"/>
          <w:u w:val="none"/>
        </w:rPr>
        <w:t>人次；配合宁波市商务局做好公平贸易案件排查工作，1-</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月累计排查案件</w:t>
      </w:r>
      <w:r>
        <w:rPr>
          <w:rFonts w:hint="eastAsia" w:ascii="仿宋" w:hAnsi="仿宋" w:eastAsia="仿宋" w:cs="仿宋"/>
          <w:color w:val="auto"/>
          <w:sz w:val="32"/>
          <w:szCs w:val="32"/>
          <w:u w:val="none"/>
          <w:lang w:val="en-US" w:eastAsia="zh-CN"/>
        </w:rPr>
        <w:t>23</w:t>
      </w:r>
      <w:r>
        <w:rPr>
          <w:rFonts w:hint="eastAsia" w:ascii="仿宋" w:hAnsi="仿宋" w:eastAsia="仿宋" w:cs="仿宋"/>
          <w:color w:val="auto"/>
          <w:sz w:val="32"/>
          <w:szCs w:val="32"/>
          <w:u w:val="none"/>
        </w:rPr>
        <w:t>起，企业1</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9家；落实红海专班工作，完成红海调查分析共2篇，持续发布中远海运船期信息共3期</w:t>
      </w:r>
      <w:r>
        <w:rPr>
          <w:rFonts w:hint="eastAsia" w:ascii="仿宋" w:hAnsi="仿宋" w:eastAsia="仿宋" w:cs="仿宋"/>
          <w:color w:val="auto"/>
          <w:sz w:val="32"/>
          <w:szCs w:val="32"/>
          <w:u w:val="none"/>
          <w:lang w:eastAsia="zh-CN"/>
        </w:rPr>
        <w:t>；</w:t>
      </w:r>
      <w:r>
        <w:rPr>
          <w:rFonts w:hint="eastAsia" w:ascii="仿宋" w:hAnsi="仿宋" w:eastAsia="仿宋" w:cs="仿宋"/>
          <w:sz w:val="32"/>
          <w:szCs w:val="32"/>
        </w:rPr>
        <w:t>先后组织企业参加《贸易绿色发展专题培训》、《2024年外贸新业态实践案例交流培训班》、《跨境电商物流模式与供应链打造》等各类培训十余场，从绿色发展、跨境提质、外贸创新等多方面为企业提供专业指导</w:t>
      </w:r>
      <w:r>
        <w:rPr>
          <w:rFonts w:hint="eastAsia" w:ascii="仿宋" w:hAnsi="仿宋" w:eastAsia="仿宋" w:cs="仿宋"/>
          <w:sz w:val="32"/>
          <w:szCs w:val="32"/>
          <w:lang w:eastAsia="zh-CN"/>
        </w:rPr>
        <w:t>，促进贸易发展</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拓展跨境电商业务</w:t>
      </w:r>
      <w:r>
        <w:rPr>
          <w:rFonts w:hint="eastAsia" w:ascii="仿宋" w:hAnsi="仿宋" w:eastAsia="仿宋" w:cs="仿宋"/>
          <w:b/>
          <w:sz w:val="32"/>
          <w:szCs w:val="32"/>
          <w:lang w:eastAsia="zh-CN"/>
        </w:rPr>
        <w:t>。</w:t>
      </w:r>
      <w:r>
        <w:rPr>
          <w:rFonts w:hint="eastAsia" w:ascii="仿宋" w:hAnsi="仿宋" w:eastAsia="仿宋" w:cs="仿宋"/>
          <w:sz w:val="32"/>
          <w:szCs w:val="32"/>
        </w:rPr>
        <w:t>支持辖区企业大力发展跨境电商出口业务，优化海外仓备案，截</w:t>
      </w:r>
      <w:r>
        <w:rPr>
          <w:rFonts w:hint="eastAsia" w:ascii="仿宋" w:hAnsi="仿宋" w:eastAsia="仿宋" w:cs="仿宋"/>
          <w:sz w:val="32"/>
          <w:szCs w:val="32"/>
          <w:lang w:eastAsia="zh-CN"/>
        </w:rPr>
        <w:t>至</w:t>
      </w:r>
      <w:r>
        <w:rPr>
          <w:rFonts w:hint="eastAsia" w:ascii="仿宋" w:hAnsi="仿宋" w:eastAsia="仿宋" w:cs="仿宋"/>
          <w:sz w:val="32"/>
          <w:szCs w:val="32"/>
        </w:rPr>
        <w:t>2024年3月底，慈溪海关共计备案海外仓企业14家，仓库51个；2024年，风向东南（浙江）跨境供应链有限公司接手慈溪优品馆运营管理以来，重构以“技术研发+供应链支持+人才孵化+跨境电商+海外仓+AI产业赋能”六大版块为主的新格局，做强创新链、做精产品链、做深销售链，打造新媒体生态产业平台和小家电区域品牌，目前慈溪优品馆已与越南Winmart连锁商超、泰国正大集团旗下7-Eleven连锁便利商超两大巨头渠道签约。接下来，将重点布局东南亚重要线下市</w:t>
      </w:r>
      <w:r>
        <w:rPr>
          <w:rFonts w:hint="eastAsia" w:ascii="仿宋" w:hAnsi="仿宋" w:eastAsia="仿宋" w:cs="仿宋"/>
          <w:sz w:val="32"/>
          <w:szCs w:val="32"/>
          <w:lang w:eastAsia="zh-CN"/>
        </w:rPr>
        <w:t>，</w:t>
      </w:r>
      <w:r>
        <w:rPr>
          <w:rFonts w:hint="eastAsia" w:ascii="仿宋" w:hAnsi="仿宋" w:eastAsia="仿宋" w:cs="仿宋"/>
          <w:sz w:val="32"/>
          <w:szCs w:val="32"/>
        </w:rPr>
        <w:t>由赛亿明弘（宁波）贸易有限公司打造的长三角数字贸易综合服务平台，借助数字化手段为外贸企业精准画像，为企业快速匹配订单。2023年10月赛亿明弘与罗马尼亚最大的电商平台eMAG签约，在中国设立首个运营中心，负责平台在中国区的采购及招商入驻工作。截至目前，平台已实现欧美商超直采超7000万美元，eMAG首批20万美元的订单已经开始交付。</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4、深化</w:t>
      </w:r>
      <w:r>
        <w:rPr>
          <w:rFonts w:hint="eastAsia" w:ascii="仿宋" w:hAnsi="仿宋" w:eastAsia="仿宋" w:cs="仿宋"/>
          <w:b/>
          <w:sz w:val="32"/>
          <w:szCs w:val="32"/>
          <w:lang w:eastAsia="zh-CN"/>
        </w:rPr>
        <w:t>贸易发展保障。</w:t>
      </w:r>
      <w:r>
        <w:rPr>
          <w:rFonts w:hint="eastAsia" w:ascii="仿宋" w:hAnsi="仿宋" w:eastAsia="仿宋" w:cs="仿宋"/>
          <w:sz w:val="32"/>
          <w:szCs w:val="32"/>
        </w:rPr>
        <w:t>2023年，慈溪海关撰写特别贸易关注1篇被总署采纳并列为WTO/TBT例会双边磋商内容。依托国家级技贸评议基地，跟踪发布国外技贸风险预警信息33条，助力童车产业精准投放国外市场。完成取暖器中国国家标准和欧盟标准差异研究，帮助企业厘清不同目的地市场检测标准，保障企业商品出口顺畅；市市场监督管理局推动新一轮浙江制造标准制定，通过调研走访，广泛宣传“浙江制造”品牌建设，做好“浙江制造”品牌建设重点企业培育工作，走访企业精准对接企业，了解相关服务需求，持续不断充盈“浙江制造”培育库，2023年新增浙江制造认证培育企业12家，累计浙江制造培育企业存量35家。新增“品字标”浙江制造认证13个，累计96个。通过掌握我市“浙江制造”、质量强企、标准化、计量方面的工作情况，积极引导企业开展卓越绩效管理。截</w:t>
      </w:r>
      <w:r>
        <w:rPr>
          <w:rFonts w:hint="eastAsia" w:ascii="仿宋" w:hAnsi="仿宋" w:eastAsia="仿宋" w:cs="仿宋"/>
          <w:sz w:val="32"/>
          <w:szCs w:val="32"/>
          <w:lang w:eastAsia="zh-CN"/>
        </w:rPr>
        <w:t>至</w:t>
      </w:r>
      <w:r>
        <w:rPr>
          <w:rFonts w:hint="eastAsia" w:ascii="仿宋" w:hAnsi="仿宋" w:eastAsia="仿宋" w:cs="仿宋"/>
          <w:sz w:val="32"/>
          <w:szCs w:val="32"/>
        </w:rPr>
        <w:t>目前，新增导入卓越绩效管理项目立项9家，累计导入卓越绩效管理137家；推进小微企业质量管理体系认证及“三同”工作。以小微企业质量管理体系认证行动促进我市家电行业小微企业转型升级和质量提升，今年我市参与提升行动的小微企业42家。推进内外贸产品“同线同标同质”，2023年全市新增发展“三同”企业6家，“三同”产品种数15个，“三同”企业及产品在“三同”在线服务平台上线率达到100%。</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Cs/>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做好金融利企工作</w:t>
      </w:r>
      <w:r>
        <w:rPr>
          <w:rFonts w:hint="eastAsia" w:ascii="仿宋" w:hAnsi="仿宋" w:eastAsia="仿宋" w:cs="仿宋"/>
          <w:b/>
          <w:sz w:val="32"/>
          <w:szCs w:val="32"/>
          <w:lang w:eastAsia="zh-CN"/>
        </w:rPr>
        <w:t>。</w:t>
      </w:r>
      <w:r>
        <w:rPr>
          <w:rFonts w:hint="eastAsia" w:ascii="仿宋" w:hAnsi="仿宋" w:eastAsia="仿宋" w:cs="仿宋"/>
          <w:sz w:val="32"/>
          <w:szCs w:val="32"/>
        </w:rPr>
        <w:t>为推动我市内外贸一体化发展，自去年以来，市金融发展服务中心会同人保财险慈溪中心支公司、太保财险慈溪中心支公司等财险机构研究落地推广国内贸易信用保险，充分发挥国内贸易信用保险对扩大内需的重要作用。2023年，首次将国内贸易信用保险业务纳入年度保险创新考核奖励体系，安排30万元资金鼓励保险机构扩大国内贸易信用保险业务规模。目前我市共有3家企业投保国内贸易信用保险，保费收入179.40万元，承保金额10.52亿元</w:t>
      </w:r>
      <w:r>
        <w:rPr>
          <w:rFonts w:hint="eastAsia" w:ascii="仿宋" w:hAnsi="仿宋" w:eastAsia="仿宋" w:cs="仿宋"/>
          <w:sz w:val="32"/>
          <w:szCs w:val="32"/>
          <w:lang w:eastAsia="zh-CN"/>
        </w:rPr>
        <w:t>。</w:t>
      </w:r>
      <w:r>
        <w:rPr>
          <w:rFonts w:hint="eastAsia" w:ascii="仿宋" w:hAnsi="仿宋" w:eastAsia="仿宋" w:cs="仿宋"/>
          <w:bCs/>
          <w:sz w:val="32"/>
          <w:szCs w:val="32"/>
        </w:rPr>
        <w:t>持续优化升级融资服务。</w:t>
      </w:r>
      <w:r>
        <w:rPr>
          <w:rFonts w:hint="eastAsia" w:ascii="仿宋" w:hAnsi="仿宋" w:eastAsia="仿宋" w:cs="仿宋"/>
          <w:sz w:val="32"/>
          <w:szCs w:val="32"/>
        </w:rPr>
        <w:t>鼓励引导金融机构创新金融产品，拓宽外贸企业融资渠道，比如金融机构创新推出区块链秒贷、关贸E贷、跨境电商海外仓智融等额度高、利率低、时效快的数字普惠产品；政银保联合推出“电商贷”创新业务，今年一季度“电商贷”业务新增4笔，共为8家电商企业提供融资支持2400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推动创新高质</w:t>
      </w:r>
      <w:r>
        <w:rPr>
          <w:rFonts w:hint="eastAsia" w:ascii="仿宋" w:hAnsi="仿宋" w:eastAsia="仿宋" w:cs="仿宋"/>
          <w:b/>
          <w:sz w:val="32"/>
          <w:szCs w:val="32"/>
          <w:lang w:eastAsia="zh-CN"/>
        </w:rPr>
        <w:t>量</w:t>
      </w:r>
      <w:r>
        <w:rPr>
          <w:rFonts w:hint="eastAsia" w:ascii="仿宋" w:hAnsi="仿宋" w:eastAsia="仿宋" w:cs="仿宋"/>
          <w:b/>
          <w:sz w:val="32"/>
          <w:szCs w:val="32"/>
        </w:rPr>
        <w:t>发展</w:t>
      </w:r>
      <w:r>
        <w:rPr>
          <w:rFonts w:hint="eastAsia" w:ascii="仿宋" w:hAnsi="仿宋" w:eastAsia="仿宋" w:cs="仿宋"/>
          <w:b/>
          <w:sz w:val="32"/>
          <w:szCs w:val="32"/>
          <w:lang w:eastAsia="zh-CN"/>
        </w:rPr>
        <w:t>。</w:t>
      </w:r>
      <w:r>
        <w:rPr>
          <w:rFonts w:hint="eastAsia" w:ascii="仿宋" w:hAnsi="仿宋" w:eastAsia="仿宋" w:cs="仿宋"/>
          <w:bCs/>
          <w:sz w:val="32"/>
          <w:szCs w:val="32"/>
        </w:rPr>
        <w:t>扶强企业主体，创新驱动产业升级。</w:t>
      </w:r>
      <w:r>
        <w:rPr>
          <w:rFonts w:hint="eastAsia" w:ascii="仿宋" w:hAnsi="仿宋" w:eastAsia="仿宋" w:cs="仿宋"/>
          <w:sz w:val="32"/>
          <w:szCs w:val="32"/>
        </w:rPr>
        <w:t>深入实施高企提质扩容行动计划，推动科技企业“双倍增”，全年新增国家科技型中小企业799家、浙江省科技型中小企业492家。强化企业创新载体建设，新认定宁波市级企业技术研发中心34家，慈溪市级企业工程技术中心88家。鼓励企业与高校院所联合攻关。推荐申报2023年宁波市重点研发计划23项，入选11项；培育科创平台，促进创新要素集聚。慈溪产研院新引进高性能聚醚醚酮医疗器械研发与产业化项目、工业局域网下的自动化运输底盘产业化项目等2个，累计引进产业化项目团队15个；双臂机器人项目团队获家电企业委托开发成套智能装备68台套，金额近1500万元。统筹推进智能家电技术创新中心建设，高水平线下设计平台建成投用，自7月举办推介会以来，线下设计公司累计接单总额已接近千万。推进“飞地”规范化建设发展，以上海飞地和产研院为主体的科创平台，入选省推进长三角一体化发展第二批最佳实践名单，全省仅20个，宁波唯一；聚焦“六基”、制造强国战略、网络强国建设等重点领域，建立分级分层分类专精特新中小企业培育库，动态掌握企业专精特新指标并开展分类指导，开展“小巨人”企业走访，深入交流挖掘企业成功之道，持续报导“小巨人”企业优秀案例，树立典型并加强宣传推广，引导和鼓励企业从战略角度出发，走专精特新之路。目前，我市共有10家重点“小巨人”企业，位列宁波第一，国家专精特新“小巨人”企业42家，宁波市“专精特新”中小企业259家，创新型中小企业686家，数量均位居宁波前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7、加大数字应用力度。</w:t>
      </w:r>
      <w:r>
        <w:rPr>
          <w:rFonts w:hint="eastAsia" w:ascii="仿宋" w:hAnsi="仿宋" w:eastAsia="仿宋" w:cs="仿宋"/>
          <w:sz w:val="32"/>
          <w:szCs w:val="32"/>
        </w:rPr>
        <w:t>引进优质AI公司。争取全球半导体行业巨头AMD携手清华系科技企业清醒异构、慈溪本地企业宁波芯向荣公司开展的“AMD-清醒异构人工智能应用”联合实验室和芯向荣慈溪“田园一号”智算系统在落地慈溪；推出“慈溪百模”计划，针对中小型企业在产品设计、安全生产、质量检测、企业宣传等环节的个性化需求，在未来三年内通过补贴等方式为百家本地企业提供专属AI模型系统，赋能实体经济降本增效；组织上报“人工智能赋能新型工业化”重点培育项目。共有智慧猫视觉软件（宁波瑞辉智能科技有限公司）、AI一体机（预装MLbase）（宁波芯向荣科技有限公司）以及小慈AI(私有化部署平台)（宁波祈禧智能科技股份有限公司）三个项目上报，涉及智能软件及模型算法、研发设计及运营管理领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抓牢产权保护根基</w:t>
      </w:r>
      <w:r>
        <w:rPr>
          <w:rFonts w:hint="eastAsia" w:ascii="仿宋" w:hAnsi="仿宋" w:eastAsia="仿宋" w:cs="仿宋"/>
          <w:b/>
          <w:bCs/>
          <w:sz w:val="32"/>
          <w:szCs w:val="32"/>
          <w:lang w:eastAsia="zh-CN"/>
        </w:rPr>
        <w:t>。</w:t>
      </w:r>
      <w:r>
        <w:rPr>
          <w:rFonts w:hint="eastAsia" w:ascii="仿宋" w:hAnsi="仿宋" w:eastAsia="仿宋" w:cs="仿宋"/>
          <w:sz w:val="32"/>
          <w:szCs w:val="32"/>
        </w:rPr>
        <w:t>开展全市知识产权代理行业专项整治，对辖区内各类知识产权服务机构开展全面排查，形成商标代理机构、专利代理机构名录，建立知识产权代理机构档案。从专业代理机构方面入手，解决非正常申请问题，查处无资质专利代理行为，全年开展商标代理行为检查10家，专利真实性监督抽查4家，根据省级专利代理监督检查任务开展检查3家；对专利相关案件严格按照时间要求受理立案，尽可能缩短案件办理时间，切实维护当事人的合法权益，凸显专利纠纷行政裁决的优势。2023年度，受理专利侵权纠纷案件32起，结案26起。办结知识产权行政处罚案件68件，其中涉及商标行政处罚案件67件，涉及专利行政处罚案件1件，罚没款合计109万元。</w:t>
      </w:r>
    </w:p>
    <w:p>
      <w:pPr>
        <w:pStyle w:val="7"/>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ascii="仿宋_GB2312" w:hAnsi="仿宋_GB2312" w:eastAsia="仿宋_GB2312" w:cs="仿宋_GB2312"/>
          <w:sz w:val="32"/>
          <w:szCs w:val="32"/>
        </w:rPr>
      </w:pPr>
      <w:r>
        <w:rPr>
          <w:rFonts w:hint="eastAsia" w:ascii="黑体" w:hAnsi="黑体" w:eastAsia="黑体" w:cs="黑体"/>
          <w:sz w:val="32"/>
          <w:szCs w:val="32"/>
        </w:rPr>
        <w:t>二、下步工作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sz w:val="32"/>
          <w:szCs w:val="32"/>
        </w:rPr>
        <w:t>（一）推进政策落地，优化服务队伍。</w:t>
      </w:r>
      <w:r>
        <w:rPr>
          <w:rFonts w:hint="eastAsia" w:ascii="仿宋" w:hAnsi="仿宋" w:eastAsia="仿宋" w:cs="仿宋"/>
          <w:b/>
          <w:bCs/>
          <w:sz w:val="32"/>
          <w:szCs w:val="32"/>
        </w:rPr>
        <w:t>一是</w:t>
      </w:r>
      <w:r>
        <w:rPr>
          <w:rFonts w:hint="eastAsia" w:ascii="仿宋" w:hAnsi="仿宋" w:eastAsia="仿宋" w:cs="仿宋"/>
          <w:sz w:val="32"/>
          <w:szCs w:val="32"/>
        </w:rPr>
        <w:t>结合当前外贸发展态势，综合企业需求，尽快出台2024年度开放型经济扶持政策等惠企政策，让更多企业享受政策红利，在提高企业积极性的同时</w:t>
      </w:r>
      <w:r>
        <w:rPr>
          <w:rFonts w:hint="eastAsia" w:ascii="仿宋" w:hAnsi="仿宋" w:eastAsia="仿宋" w:cs="仿宋"/>
          <w:sz w:val="32"/>
          <w:szCs w:val="32"/>
          <w:lang w:eastAsia="zh-CN"/>
        </w:rPr>
        <w:t>，</w:t>
      </w:r>
      <w:r>
        <w:rPr>
          <w:rFonts w:hint="eastAsia" w:ascii="仿宋" w:hAnsi="仿宋" w:eastAsia="仿宋" w:cs="仿宋"/>
          <w:sz w:val="32"/>
          <w:szCs w:val="32"/>
        </w:rPr>
        <w:t>科学引导企业发展。</w:t>
      </w:r>
      <w:r>
        <w:rPr>
          <w:rFonts w:hint="eastAsia" w:ascii="仿宋" w:hAnsi="仿宋" w:eastAsia="仿宋" w:cs="仿宋"/>
          <w:b/>
          <w:bCs/>
          <w:sz w:val="32"/>
          <w:szCs w:val="32"/>
        </w:rPr>
        <w:t>二是</w:t>
      </w:r>
      <w:r>
        <w:rPr>
          <w:rFonts w:hint="eastAsia" w:ascii="仿宋" w:hAnsi="仿宋" w:eastAsia="仿宋" w:cs="仿宋"/>
          <w:sz w:val="32"/>
          <w:szCs w:val="32"/>
        </w:rPr>
        <w:t>继续依托外贸公共服务平台，就外汇波动、信用风险等问题通过发布预警信息，开办讲座等服务方式，让我市更多企业及时了解外贸形势，做好外贸预警。</w:t>
      </w:r>
      <w:r>
        <w:rPr>
          <w:rFonts w:hint="eastAsia" w:ascii="仿宋" w:hAnsi="仿宋" w:eastAsia="仿宋" w:cs="仿宋"/>
          <w:b/>
          <w:bCs/>
          <w:sz w:val="32"/>
          <w:szCs w:val="32"/>
        </w:rPr>
        <w:t>三是</w:t>
      </w:r>
      <w:r>
        <w:rPr>
          <w:rFonts w:hint="eastAsia" w:ascii="仿宋" w:hAnsi="仿宋" w:eastAsia="仿宋" w:cs="仿宋"/>
          <w:sz w:val="32"/>
          <w:szCs w:val="32"/>
          <w:lang w:eastAsia="zh-CN"/>
        </w:rPr>
        <w:t>组织</w:t>
      </w:r>
      <w:r>
        <w:rPr>
          <w:rFonts w:hint="eastAsia" w:ascii="仿宋" w:hAnsi="仿宋" w:eastAsia="仿宋" w:cs="仿宋"/>
          <w:sz w:val="32"/>
          <w:szCs w:val="32"/>
        </w:rPr>
        <w:t>商务、经信、市场监管、科技</w:t>
      </w:r>
      <w:r>
        <w:rPr>
          <w:rFonts w:hint="eastAsia" w:ascii="仿宋" w:hAnsi="仿宋" w:eastAsia="仿宋" w:cs="仿宋"/>
          <w:sz w:val="32"/>
          <w:szCs w:val="32"/>
          <w:lang w:eastAsia="zh-CN"/>
        </w:rPr>
        <w:t>、金融</w:t>
      </w:r>
      <w:r>
        <w:rPr>
          <w:rFonts w:hint="eastAsia" w:ascii="仿宋" w:hAnsi="仿宋" w:eastAsia="仿宋" w:cs="仿宋"/>
          <w:sz w:val="32"/>
          <w:szCs w:val="32"/>
        </w:rPr>
        <w:t>等单位机构共同配合，持续建设外贸服务队伍，为我市企业提供全面的外贸服务。</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建设市外贸预警平台</w:t>
      </w:r>
      <w:r>
        <w:rPr>
          <w:rFonts w:hint="eastAsia" w:ascii="仿宋" w:hAnsi="仿宋" w:eastAsia="仿宋" w:cs="仿宋"/>
          <w:b/>
          <w:bCs/>
          <w:sz w:val="32"/>
          <w:szCs w:val="32"/>
          <w:lang w:val="en-US" w:eastAsia="zh-CN"/>
        </w:rPr>
        <w:t>。</w:t>
      </w:r>
      <w:r>
        <w:rPr>
          <w:rFonts w:hint="eastAsia" w:ascii="仿宋" w:hAnsi="仿宋" w:eastAsia="仿宋" w:cs="仿宋"/>
          <w:sz w:val="32"/>
          <w:szCs w:val="32"/>
        </w:rPr>
        <w:t>在红海专班的基础上持续深</w:t>
      </w:r>
      <w:r>
        <w:rPr>
          <w:rFonts w:hint="eastAsia" w:ascii="仿宋" w:hAnsi="仿宋" w:eastAsia="仿宋" w:cs="仿宋"/>
          <w:sz w:val="32"/>
          <w:szCs w:val="32"/>
          <w:lang w:val="en-US" w:eastAsia="zh-CN"/>
        </w:rPr>
        <w:t>化</w:t>
      </w:r>
      <w:r>
        <w:rPr>
          <w:rFonts w:hint="eastAsia" w:ascii="仿宋" w:hAnsi="仿宋" w:eastAsia="仿宋" w:cs="仿宋"/>
          <w:sz w:val="32"/>
          <w:szCs w:val="32"/>
        </w:rPr>
        <w:t>，建立由商务、海关、金融、中信保、税务、公安、贸促等机构共同组 成的立体工作网络</w:t>
      </w:r>
      <w:r>
        <w:rPr>
          <w:rFonts w:hint="eastAsia" w:ascii="仿宋" w:hAnsi="仿宋" w:eastAsia="仿宋" w:cs="仿宋"/>
          <w:sz w:val="32"/>
          <w:szCs w:val="32"/>
          <w:lang w:eastAsia="zh-CN"/>
        </w:rPr>
        <w:t>，</w:t>
      </w:r>
      <w:r>
        <w:rPr>
          <w:rFonts w:hint="eastAsia" w:ascii="仿宋" w:hAnsi="仿宋" w:eastAsia="仿宋" w:cs="仿宋"/>
          <w:sz w:val="32"/>
          <w:szCs w:val="32"/>
        </w:rPr>
        <w:t>在进出口便利化、中信保覆盖面、贸易壁垒调查等方面进行优化升级，充实公平贸易各类信息资源储备，完善工作机制，点线面结合做好外贸监测，风险规避，专业培训等贸易预警具体工作，为企业提供信息、渠道、机构方面的支持，提高企业在国际贸易中维护自身合法权益的底气和实力</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持续</w:t>
      </w:r>
      <w:r>
        <w:rPr>
          <w:rFonts w:hint="eastAsia" w:ascii="仿宋" w:hAnsi="仿宋" w:eastAsia="仿宋" w:cs="仿宋"/>
          <w:b w:val="0"/>
          <w:bCs w:val="0"/>
          <w:sz w:val="32"/>
          <w:szCs w:val="32"/>
          <w:lang w:val="en-US" w:eastAsia="zh-CN"/>
        </w:rPr>
        <w:t>发挥涉外商事法律服务平台作用。依托商事平台的便利，积极举办各类国际经贸形势说明会、企业“走出去”合规性指导等培训会议，帮助我市企业在外</w:t>
      </w:r>
      <w:r>
        <w:rPr>
          <w:rFonts w:hint="default" w:ascii="仿宋" w:hAnsi="仿宋" w:eastAsia="仿宋" w:cs="仿宋"/>
          <w:b w:val="0"/>
          <w:bCs w:val="0"/>
          <w:sz w:val="32"/>
          <w:szCs w:val="32"/>
          <w:lang w:eastAsia="zh-CN"/>
        </w:rPr>
        <w:t>贸经营</w:t>
      </w:r>
      <w:r>
        <w:rPr>
          <w:rFonts w:hint="eastAsia" w:ascii="仿宋" w:hAnsi="仿宋" w:eastAsia="仿宋" w:cs="仿宋"/>
          <w:b w:val="0"/>
          <w:bCs w:val="0"/>
          <w:sz w:val="32"/>
          <w:szCs w:val="32"/>
          <w:lang w:val="en-US" w:eastAsia="zh-CN"/>
        </w:rPr>
        <w:t>中应对</w:t>
      </w:r>
      <w:r>
        <w:rPr>
          <w:rFonts w:hint="default" w:ascii="仿宋" w:hAnsi="仿宋" w:eastAsia="仿宋" w:cs="仿宋"/>
          <w:b w:val="0"/>
          <w:bCs w:val="0"/>
          <w:sz w:val="32"/>
          <w:szCs w:val="32"/>
          <w:lang w:eastAsia="zh-CN"/>
        </w:rPr>
        <w:t>各类</w:t>
      </w:r>
      <w:r>
        <w:rPr>
          <w:rFonts w:hint="eastAsia" w:ascii="仿宋" w:hAnsi="仿宋" w:eastAsia="仿宋" w:cs="仿宋"/>
          <w:b w:val="0"/>
          <w:bCs w:val="0"/>
          <w:sz w:val="32"/>
          <w:szCs w:val="32"/>
          <w:lang w:val="en-US" w:eastAsia="zh-CN"/>
        </w:rPr>
        <w:t>法律挑战。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（二）持续助企拓市，提升品牌实力。</w:t>
      </w:r>
      <w:r>
        <w:rPr>
          <w:rFonts w:hint="eastAsia" w:ascii="仿宋" w:hAnsi="仿宋" w:eastAsia="仿宋" w:cs="仿宋"/>
          <w:b/>
          <w:bCs/>
          <w:sz w:val="32"/>
          <w:szCs w:val="32"/>
        </w:rPr>
        <w:t>一是</w:t>
      </w:r>
      <w:r>
        <w:rPr>
          <w:rFonts w:hint="eastAsia" w:ascii="仿宋" w:hAnsi="仿宋" w:eastAsia="仿宋" w:cs="仿宋"/>
          <w:sz w:val="32"/>
          <w:szCs w:val="32"/>
        </w:rPr>
        <w:t>持续引导，主动出击。市商务局将继续搭建境外大型商超、电商的直采桥梁，在原有框架的基础上拓展直采渠道，帮助企业抢得订单，引导欧洲企业与本土企业跨国合作，互利共赢；同时，通过座谈会、培训会、实地走访等形式，将目前新兴市场的情况与企业深入交流，引导企业在维持欧美</w:t>
      </w:r>
      <w:r>
        <w:rPr>
          <w:rFonts w:hint="eastAsia" w:ascii="仿宋" w:hAnsi="仿宋" w:eastAsia="仿宋" w:cs="仿宋"/>
          <w:sz w:val="32"/>
          <w:szCs w:val="32"/>
          <w:lang w:eastAsia="zh-CN"/>
        </w:rPr>
        <w:t>传统</w:t>
      </w:r>
      <w:r>
        <w:rPr>
          <w:rFonts w:hint="eastAsia" w:ascii="仿宋" w:hAnsi="仿宋" w:eastAsia="仿宋" w:cs="仿宋"/>
          <w:sz w:val="32"/>
          <w:szCs w:val="32"/>
        </w:rPr>
        <w:t>市场的同时将视野投向新兴市场。</w:t>
      </w:r>
      <w:r>
        <w:rPr>
          <w:rFonts w:hint="eastAsia" w:ascii="仿宋" w:hAnsi="仿宋" w:eastAsia="仿宋" w:cs="仿宋"/>
          <w:b/>
          <w:bCs/>
          <w:sz w:val="32"/>
          <w:szCs w:val="32"/>
        </w:rPr>
        <w:t>二是</w:t>
      </w:r>
      <w:r>
        <w:rPr>
          <w:rFonts w:hint="eastAsia" w:ascii="仿宋" w:hAnsi="仿宋" w:eastAsia="仿宋" w:cs="仿宋"/>
          <w:sz w:val="32"/>
          <w:szCs w:val="32"/>
          <w:lang w:eastAsia="zh-CN"/>
        </w:rPr>
        <w:t>深化服务</w:t>
      </w:r>
      <w:r>
        <w:rPr>
          <w:rFonts w:hint="eastAsia" w:ascii="仿宋" w:hAnsi="仿宋" w:eastAsia="仿宋" w:cs="仿宋"/>
          <w:sz w:val="32"/>
          <w:szCs w:val="32"/>
        </w:rPr>
        <w:t>，组织促贸。落实外国人来华申请工作，配合企业及时完成入境签证的审核联络工作，帮助企业吸引客商，助企发展。</w:t>
      </w:r>
      <w:r>
        <w:rPr>
          <w:rFonts w:hint="eastAsia" w:ascii="仿宋" w:hAnsi="仿宋" w:eastAsia="仿宋" w:cs="仿宋"/>
          <w:b/>
          <w:bCs/>
          <w:sz w:val="32"/>
          <w:szCs w:val="32"/>
        </w:rPr>
        <w:t>三是</w:t>
      </w:r>
      <w:r>
        <w:rPr>
          <w:rFonts w:hint="eastAsia" w:ascii="仿宋" w:hAnsi="仿宋" w:eastAsia="仿宋" w:cs="仿宋"/>
          <w:sz w:val="32"/>
          <w:szCs w:val="32"/>
        </w:rPr>
        <w:t>培养意识，建设品牌。持续推进产权宣传工作，帮助培养我市外贸企业的产权意识，练好发展“基本功”，进一步开展品牌、专利方面的服务工作，为我市的外向型领军企业提供更为方便与全面的服务，帮助提升品牌企业的市场竞争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（三）发展</w:t>
      </w:r>
      <w:r>
        <w:rPr>
          <w:rFonts w:hint="eastAsia" w:ascii="楷体" w:hAnsi="楷体" w:eastAsia="楷体" w:cs="楷体"/>
          <w:sz w:val="32"/>
          <w:szCs w:val="32"/>
          <w:lang w:eastAsia="zh-CN"/>
        </w:rPr>
        <w:t>基地平台</w:t>
      </w:r>
      <w:r>
        <w:rPr>
          <w:rFonts w:hint="eastAsia" w:ascii="楷体" w:hAnsi="楷体" w:eastAsia="楷体" w:cs="楷体"/>
          <w:sz w:val="32"/>
          <w:szCs w:val="32"/>
        </w:rPr>
        <w:t>，</w:t>
      </w:r>
      <w:r>
        <w:rPr>
          <w:rFonts w:hint="eastAsia" w:ascii="楷体" w:hAnsi="楷体" w:eastAsia="楷体" w:cs="楷体"/>
          <w:sz w:val="32"/>
          <w:szCs w:val="32"/>
          <w:lang w:eastAsia="zh-CN"/>
        </w:rPr>
        <w:t>丰富</w:t>
      </w:r>
      <w:r>
        <w:rPr>
          <w:rFonts w:hint="eastAsia" w:ascii="楷体" w:hAnsi="楷体" w:eastAsia="楷体" w:cs="楷体"/>
          <w:sz w:val="32"/>
          <w:szCs w:val="32"/>
        </w:rPr>
        <w:t>贸易</w:t>
      </w:r>
      <w:r>
        <w:rPr>
          <w:rFonts w:hint="eastAsia" w:ascii="楷体" w:hAnsi="楷体" w:eastAsia="楷体" w:cs="楷体"/>
          <w:sz w:val="32"/>
          <w:szCs w:val="32"/>
          <w:lang w:eastAsia="zh-CN"/>
        </w:rPr>
        <w:t>手段</w:t>
      </w:r>
      <w:r>
        <w:rPr>
          <w:rFonts w:hint="eastAsia" w:ascii="楷体" w:hAnsi="楷体" w:eastAsia="楷体" w:cs="楷体"/>
          <w:sz w:val="32"/>
          <w:szCs w:val="32"/>
        </w:rPr>
        <w:t>。</w:t>
      </w:r>
      <w:r>
        <w:rPr>
          <w:rFonts w:hint="eastAsia" w:ascii="仿宋" w:hAnsi="仿宋" w:eastAsia="仿宋" w:cs="仿宋"/>
          <w:b/>
          <w:bCs/>
          <w:sz w:val="32"/>
          <w:szCs w:val="32"/>
        </w:rPr>
        <w:t>一是</w:t>
      </w:r>
      <w:r>
        <w:rPr>
          <w:rFonts w:hint="eastAsia" w:ascii="仿宋" w:hAnsi="仿宋" w:eastAsia="仿宋" w:cs="仿宋"/>
          <w:sz w:val="32"/>
          <w:szCs w:val="32"/>
        </w:rPr>
        <w:t>夯实基地内核，探索助企新路。发挥</w:t>
      </w:r>
      <w:r>
        <w:rPr>
          <w:rFonts w:hint="eastAsia" w:ascii="仿宋" w:hAnsi="仿宋" w:eastAsia="仿宋" w:cs="仿宋"/>
          <w:sz w:val="32"/>
          <w:szCs w:val="32"/>
          <w:lang w:eastAsia="zh-CN"/>
        </w:rPr>
        <w:t>国家级外贸转型升级基</w:t>
      </w:r>
      <w:r>
        <w:rPr>
          <w:rFonts w:hint="eastAsia" w:ascii="仿宋" w:hAnsi="仿宋" w:eastAsia="仿宋" w:cs="仿宋"/>
          <w:sz w:val="32"/>
          <w:szCs w:val="32"/>
        </w:rPr>
        <w:t>地对全市外贸的引领作用，积极探索基地发展新路子。落实补贴政策，把已出台的各项惠企政策执行到位，落到实处</w:t>
      </w:r>
      <w:r>
        <w:rPr>
          <w:rFonts w:hint="eastAsia" w:ascii="仿宋" w:hAnsi="仿宋" w:eastAsia="仿宋" w:cs="仿宋"/>
          <w:sz w:val="32"/>
          <w:szCs w:val="32"/>
          <w:lang w:eastAsia="zh-CN"/>
        </w:rPr>
        <w:t>。</w:t>
      </w:r>
      <w:r>
        <w:rPr>
          <w:rFonts w:hint="eastAsia" w:ascii="仿宋" w:hAnsi="仿宋" w:eastAsia="仿宋" w:cs="仿宋"/>
          <w:sz w:val="32"/>
          <w:szCs w:val="32"/>
        </w:rPr>
        <w:t>发展线上营销，助力企业开拓市场</w:t>
      </w:r>
      <w:r>
        <w:rPr>
          <w:rFonts w:hint="eastAsia" w:ascii="仿宋" w:hAnsi="仿宋" w:eastAsia="仿宋" w:cs="仿宋"/>
          <w:sz w:val="32"/>
          <w:szCs w:val="32"/>
          <w:lang w:eastAsia="zh-CN"/>
        </w:rPr>
        <w:t>，</w:t>
      </w:r>
      <w:r>
        <w:rPr>
          <w:rFonts w:hint="eastAsia" w:ascii="仿宋" w:hAnsi="仿宋" w:eastAsia="仿宋" w:cs="仿宋"/>
          <w:sz w:val="32"/>
          <w:szCs w:val="32"/>
        </w:rPr>
        <w:t>加强企业与线上平台的对接合作，帮助有需要的企业发展线上营销</w:t>
      </w:r>
      <w:r>
        <w:rPr>
          <w:rFonts w:hint="eastAsia" w:ascii="仿宋" w:hAnsi="仿宋" w:eastAsia="仿宋" w:cs="仿宋"/>
          <w:sz w:val="32"/>
          <w:szCs w:val="32"/>
          <w:lang w:eastAsia="zh-CN"/>
        </w:rPr>
        <w:t>。</w:t>
      </w:r>
      <w:r>
        <w:rPr>
          <w:rFonts w:hint="eastAsia" w:ascii="仿宋" w:hAnsi="仿宋" w:eastAsia="仿宋" w:cs="仿宋"/>
          <w:sz w:val="32"/>
          <w:szCs w:val="32"/>
        </w:rPr>
        <w:t>加强监测预判，关注全球贸易风险，提供海外市场信息，加强风险防范和提示，引导企业寻求涉外法律帮助支持，做好慈溪市家电行业月度监测工作，加强对下步外贸走势的监测分析和预判。</w:t>
      </w:r>
      <w:r>
        <w:rPr>
          <w:rFonts w:hint="eastAsia" w:ascii="仿宋" w:hAnsi="仿宋" w:eastAsia="仿宋" w:cs="仿宋"/>
          <w:b/>
          <w:bCs/>
          <w:sz w:val="32"/>
          <w:szCs w:val="32"/>
        </w:rPr>
        <w:t>二是</w:t>
      </w:r>
      <w:r>
        <w:rPr>
          <w:rFonts w:hint="eastAsia" w:ascii="仿宋" w:hAnsi="仿宋" w:eastAsia="仿宋" w:cs="仿宋"/>
          <w:sz w:val="32"/>
          <w:szCs w:val="32"/>
        </w:rPr>
        <w:t>助推平台发展，拓展服务渠道。进一步推进我市外贸综合服务平台数字化发展，建设线上慈溪优品馆、家电生态圈官网和微信小程序，建立数字化产销对接、库存尾货对接、跨境现货对接矩阵。助推外贸企业转内销，内外贸市场双循环；进一步拓展“长三角数字贸易综合服务平台”的直采业务，为我市企业提供更多更好的海外直采市场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（四）加强产权保护，</w:t>
      </w:r>
      <w:r>
        <w:rPr>
          <w:rFonts w:hint="eastAsia" w:ascii="楷体" w:hAnsi="楷体" w:eastAsia="楷体" w:cs="楷体"/>
          <w:sz w:val="32"/>
          <w:szCs w:val="32"/>
          <w:lang w:eastAsia="zh-CN"/>
        </w:rPr>
        <w:t>助推创新</w:t>
      </w:r>
      <w:r>
        <w:rPr>
          <w:rFonts w:hint="eastAsia" w:ascii="楷体" w:hAnsi="楷体" w:eastAsia="楷体" w:cs="楷体"/>
          <w:sz w:val="32"/>
          <w:szCs w:val="32"/>
        </w:rPr>
        <w:t>发展</w:t>
      </w:r>
      <w:r>
        <w:rPr>
          <w:rFonts w:hint="eastAsia" w:ascii="楷体" w:hAnsi="楷体" w:eastAsia="楷体" w:cs="楷体"/>
          <w:sz w:val="32"/>
          <w:szCs w:val="32"/>
          <w:lang w:eastAsia="zh-CN"/>
        </w:rPr>
        <w:t>。</w:t>
      </w:r>
      <w:r>
        <w:rPr>
          <w:rFonts w:hint="eastAsia" w:ascii="仿宋" w:hAnsi="仿宋" w:eastAsia="仿宋" w:cs="仿宋"/>
          <w:b/>
          <w:bCs/>
          <w:sz w:val="32"/>
          <w:szCs w:val="32"/>
        </w:rPr>
        <w:t>一是</w:t>
      </w:r>
      <w:r>
        <w:rPr>
          <w:rFonts w:hint="eastAsia" w:ascii="仿宋" w:hAnsi="仿宋" w:eastAsia="仿宋" w:cs="仿宋"/>
          <w:sz w:val="32"/>
          <w:szCs w:val="32"/>
        </w:rPr>
        <w:t>优化知识产权创新运用。强化知识产权公共服务，修订知识产权奖补政策，激发高价值专利创造热情。争取2027年年底前，全大市有效发明专利达到10000件，每万人高价值发明专利拥有量达到18件。推进质押融资和保险工作，力争2024年底完成质押40亿元目标</w:t>
      </w:r>
      <w:r>
        <w:rPr>
          <w:rFonts w:hint="eastAsia" w:ascii="仿宋" w:hAnsi="仿宋" w:eastAsia="仿宋" w:cs="仿宋"/>
          <w:sz w:val="32"/>
          <w:szCs w:val="32"/>
          <w:lang w:eastAsia="zh-CN"/>
        </w:rPr>
        <w:t>。</w:t>
      </w:r>
      <w:r>
        <w:rPr>
          <w:rFonts w:hint="eastAsia" w:ascii="仿宋" w:hAnsi="仿宋" w:eastAsia="仿宋" w:cs="仿宋"/>
          <w:b/>
          <w:bCs/>
          <w:sz w:val="32"/>
          <w:szCs w:val="32"/>
        </w:rPr>
        <w:t>二是</w:t>
      </w:r>
      <w:r>
        <w:rPr>
          <w:rFonts w:hint="eastAsia" w:ascii="仿宋" w:hAnsi="仿宋" w:eastAsia="仿宋" w:cs="仿宋"/>
          <w:sz w:val="32"/>
          <w:szCs w:val="32"/>
        </w:rPr>
        <w:t>强化知识产权协同体系。公检法三家协同履职，检察机关与行政机关强化信息共享，畅通案件线索投诉渠道，统一打击犯罪的法律适用，完善知识产权行政与司法保护衔接体系，加强各环节工作机制建设。创新办案机制，探索民刑、行刑、诉调对接和对外衔接的新模式，提升司法办案灵活度</w:t>
      </w:r>
      <w:r>
        <w:rPr>
          <w:rFonts w:hint="eastAsia" w:ascii="仿宋" w:hAnsi="仿宋" w:eastAsia="仿宋" w:cs="仿宋"/>
          <w:sz w:val="32"/>
          <w:szCs w:val="32"/>
          <w:lang w:eastAsia="zh-CN"/>
        </w:rPr>
        <w:t>。</w:t>
      </w:r>
      <w:r>
        <w:rPr>
          <w:rFonts w:hint="eastAsia" w:ascii="仿宋" w:hAnsi="仿宋" w:eastAsia="仿宋" w:cs="仿宋"/>
          <w:b/>
          <w:bCs/>
          <w:sz w:val="32"/>
          <w:szCs w:val="32"/>
        </w:rPr>
        <w:t>三是</w:t>
      </w:r>
      <w:r>
        <w:rPr>
          <w:rFonts w:hint="eastAsia" w:ascii="仿宋" w:hAnsi="仿宋" w:eastAsia="仿宋" w:cs="仿宋"/>
          <w:sz w:val="32"/>
          <w:szCs w:val="32"/>
        </w:rPr>
        <w:t>细化知识产权宣传内容。强化企业走访宣传，提供知识产权针对性指导。依托品牌指导站，适时开展知识产权讲座、发布侵权预警、宣传典型案例等活动，营造知识产权重视氛围。</w:t>
      </w:r>
      <w:r>
        <w:rPr>
          <w:rFonts w:hint="eastAsia" w:ascii="仿宋" w:hAnsi="仿宋" w:eastAsia="仿宋" w:cs="仿宋"/>
          <w:b/>
          <w:bCs/>
          <w:sz w:val="32"/>
          <w:szCs w:val="32"/>
        </w:rPr>
        <w:t>四是</w:t>
      </w:r>
      <w:r>
        <w:rPr>
          <w:rFonts w:hint="eastAsia" w:ascii="仿宋" w:hAnsi="仿宋" w:eastAsia="仿宋" w:cs="仿宋"/>
          <w:sz w:val="32"/>
          <w:szCs w:val="32"/>
        </w:rPr>
        <w:t>持续加强认证认可监督管理。深化小微企业质量管理体系认证、绿色产品认证、养老机构认证等培育工作，组织认证机构专家精准解读政策内容，结合企业实际和弱项短板精准施策。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以上是我们的答复意见，如有不当，请予以批评指正。希望您一如既往地支持我们的工作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谢谢！</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pPr>
        <w:pStyle w:val="6"/>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慈溪市商务局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年6月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pStyle w:val="11"/>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rPr>
      </w:pPr>
    </w:p>
    <w:p>
      <w:pPr>
        <w:pStyle w:val="6"/>
        <w:rPr>
          <w:rFonts w:hint="eastAsia" w:ascii="仿宋" w:hAnsi="仿宋" w:eastAsia="仿宋" w:cs="仿宋"/>
          <w:sz w:val="32"/>
          <w:szCs w:val="32"/>
        </w:rPr>
      </w:pPr>
    </w:p>
    <w:p>
      <w:pPr>
        <w:pStyle w:val="7"/>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抄    送：市人大代表工委，市政府办公室，市经信局，市科技局，市市场监管局，市金融发展服务中心，慈溪海关</w:t>
      </w:r>
      <w:r>
        <w:rPr>
          <w:rFonts w:hint="default" w:ascii="仿宋" w:hAnsi="仿宋" w:eastAsia="仿宋" w:cs="仿宋"/>
          <w:sz w:val="32"/>
          <w:szCs w:val="32"/>
          <w:lang w:eastAsia="zh-CN"/>
        </w:rPr>
        <w:t>，附海镇人大主席团</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人：翁成铭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联系电话：63810632</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ZmU5MjA5MmEzMzFkOGE3ZjE3OWY5YmI5NzJiMjEifQ=="/>
  </w:docVars>
  <w:rsids>
    <w:rsidRoot w:val="0A325AE2"/>
    <w:rsid w:val="0030491E"/>
    <w:rsid w:val="00326583"/>
    <w:rsid w:val="004E20F1"/>
    <w:rsid w:val="00646D92"/>
    <w:rsid w:val="008F0255"/>
    <w:rsid w:val="00937A35"/>
    <w:rsid w:val="009A1FEC"/>
    <w:rsid w:val="00A05BAF"/>
    <w:rsid w:val="00A50750"/>
    <w:rsid w:val="00A70DEC"/>
    <w:rsid w:val="00AC2CED"/>
    <w:rsid w:val="00B4034A"/>
    <w:rsid w:val="00DD79C1"/>
    <w:rsid w:val="01404BF0"/>
    <w:rsid w:val="0444488F"/>
    <w:rsid w:val="04F45EF8"/>
    <w:rsid w:val="061A79E0"/>
    <w:rsid w:val="067D7B25"/>
    <w:rsid w:val="06FC6923"/>
    <w:rsid w:val="09083773"/>
    <w:rsid w:val="09AF2162"/>
    <w:rsid w:val="09B0671C"/>
    <w:rsid w:val="0A325AE2"/>
    <w:rsid w:val="0A52707D"/>
    <w:rsid w:val="0A7611BE"/>
    <w:rsid w:val="0AAD5099"/>
    <w:rsid w:val="0AE35365"/>
    <w:rsid w:val="0B0F5A27"/>
    <w:rsid w:val="0B20465A"/>
    <w:rsid w:val="0B34316A"/>
    <w:rsid w:val="0BC95DF7"/>
    <w:rsid w:val="0BE9535F"/>
    <w:rsid w:val="0E0942EC"/>
    <w:rsid w:val="0F0F32E9"/>
    <w:rsid w:val="0F655501"/>
    <w:rsid w:val="0FC84B70"/>
    <w:rsid w:val="113603C5"/>
    <w:rsid w:val="1146425A"/>
    <w:rsid w:val="118400E9"/>
    <w:rsid w:val="121D44A7"/>
    <w:rsid w:val="132C3866"/>
    <w:rsid w:val="13B4632F"/>
    <w:rsid w:val="143954FF"/>
    <w:rsid w:val="14696B67"/>
    <w:rsid w:val="147D0B06"/>
    <w:rsid w:val="15333622"/>
    <w:rsid w:val="17D87A8D"/>
    <w:rsid w:val="182B6C2E"/>
    <w:rsid w:val="18552337"/>
    <w:rsid w:val="18AD7321"/>
    <w:rsid w:val="18F8037C"/>
    <w:rsid w:val="19155691"/>
    <w:rsid w:val="19B12C50"/>
    <w:rsid w:val="19CF6FC6"/>
    <w:rsid w:val="1C525863"/>
    <w:rsid w:val="1D126A49"/>
    <w:rsid w:val="1DD64A16"/>
    <w:rsid w:val="1DF71542"/>
    <w:rsid w:val="1E6D6FF8"/>
    <w:rsid w:val="1E7A2AF8"/>
    <w:rsid w:val="1E7C1811"/>
    <w:rsid w:val="1F396491"/>
    <w:rsid w:val="1F867DF6"/>
    <w:rsid w:val="1FF7413F"/>
    <w:rsid w:val="20A07743"/>
    <w:rsid w:val="20FB0547"/>
    <w:rsid w:val="219537A4"/>
    <w:rsid w:val="2208666C"/>
    <w:rsid w:val="2225345A"/>
    <w:rsid w:val="22DF7087"/>
    <w:rsid w:val="23B51410"/>
    <w:rsid w:val="253B22C4"/>
    <w:rsid w:val="26571970"/>
    <w:rsid w:val="265A320F"/>
    <w:rsid w:val="26730028"/>
    <w:rsid w:val="28D34478"/>
    <w:rsid w:val="294B104A"/>
    <w:rsid w:val="298E1E35"/>
    <w:rsid w:val="2B2F4C6A"/>
    <w:rsid w:val="2B560117"/>
    <w:rsid w:val="2BAA081A"/>
    <w:rsid w:val="2CF006C0"/>
    <w:rsid w:val="2DA7286A"/>
    <w:rsid w:val="2E0D6DFE"/>
    <w:rsid w:val="2F392B02"/>
    <w:rsid w:val="2FBF0D63"/>
    <w:rsid w:val="30544CD1"/>
    <w:rsid w:val="309D06CD"/>
    <w:rsid w:val="31DA6A8A"/>
    <w:rsid w:val="31F5338E"/>
    <w:rsid w:val="33CA19D4"/>
    <w:rsid w:val="35CD0E59"/>
    <w:rsid w:val="35FC6E40"/>
    <w:rsid w:val="364F684C"/>
    <w:rsid w:val="36BA60EC"/>
    <w:rsid w:val="36DA7728"/>
    <w:rsid w:val="37425D25"/>
    <w:rsid w:val="375F7FBE"/>
    <w:rsid w:val="37F04B80"/>
    <w:rsid w:val="382B1748"/>
    <w:rsid w:val="38AE67CB"/>
    <w:rsid w:val="3AF061E1"/>
    <w:rsid w:val="3B781991"/>
    <w:rsid w:val="3C025A83"/>
    <w:rsid w:val="3C803EB9"/>
    <w:rsid w:val="3C9410AC"/>
    <w:rsid w:val="3CEE3DDD"/>
    <w:rsid w:val="3D460E7D"/>
    <w:rsid w:val="3E681A67"/>
    <w:rsid w:val="3E8B6E88"/>
    <w:rsid w:val="3EB22F80"/>
    <w:rsid w:val="3EBE7524"/>
    <w:rsid w:val="3ECD15B7"/>
    <w:rsid w:val="3EF717DC"/>
    <w:rsid w:val="3F834517"/>
    <w:rsid w:val="41801279"/>
    <w:rsid w:val="4191768D"/>
    <w:rsid w:val="41E73751"/>
    <w:rsid w:val="42032188"/>
    <w:rsid w:val="42671262"/>
    <w:rsid w:val="42AD7B4A"/>
    <w:rsid w:val="45073B97"/>
    <w:rsid w:val="45725278"/>
    <w:rsid w:val="45D25267"/>
    <w:rsid w:val="498D4231"/>
    <w:rsid w:val="49DC79F6"/>
    <w:rsid w:val="4BDE65EA"/>
    <w:rsid w:val="4BF663FF"/>
    <w:rsid w:val="4C893D3D"/>
    <w:rsid w:val="4CBE1552"/>
    <w:rsid w:val="4D426B57"/>
    <w:rsid w:val="4DCD4A82"/>
    <w:rsid w:val="4E005F07"/>
    <w:rsid w:val="4E20297D"/>
    <w:rsid w:val="4E216A26"/>
    <w:rsid w:val="4F560A37"/>
    <w:rsid w:val="4F883C5F"/>
    <w:rsid w:val="4F895FF5"/>
    <w:rsid w:val="4FE11FE0"/>
    <w:rsid w:val="506A3B50"/>
    <w:rsid w:val="50C20CFD"/>
    <w:rsid w:val="51825244"/>
    <w:rsid w:val="51AC1A80"/>
    <w:rsid w:val="51DA6E2E"/>
    <w:rsid w:val="53FB0B46"/>
    <w:rsid w:val="54A84FC1"/>
    <w:rsid w:val="54F14BBA"/>
    <w:rsid w:val="551D33A8"/>
    <w:rsid w:val="55DC68AB"/>
    <w:rsid w:val="55F212DE"/>
    <w:rsid w:val="56026953"/>
    <w:rsid w:val="565C0160"/>
    <w:rsid w:val="57B13505"/>
    <w:rsid w:val="57F5757E"/>
    <w:rsid w:val="591A79B6"/>
    <w:rsid w:val="59780207"/>
    <w:rsid w:val="59BD150F"/>
    <w:rsid w:val="5A981C53"/>
    <w:rsid w:val="5CD1684D"/>
    <w:rsid w:val="5CF520E7"/>
    <w:rsid w:val="5D4165C6"/>
    <w:rsid w:val="5D8A19AF"/>
    <w:rsid w:val="5EC56770"/>
    <w:rsid w:val="5FA16279"/>
    <w:rsid w:val="60E5432E"/>
    <w:rsid w:val="612436CC"/>
    <w:rsid w:val="613A3445"/>
    <w:rsid w:val="61B04D70"/>
    <w:rsid w:val="63E918A4"/>
    <w:rsid w:val="63F0603D"/>
    <w:rsid w:val="65510F57"/>
    <w:rsid w:val="67A64A66"/>
    <w:rsid w:val="67FD2690"/>
    <w:rsid w:val="6888147F"/>
    <w:rsid w:val="69C735E6"/>
    <w:rsid w:val="69DB6B7C"/>
    <w:rsid w:val="6A2D4864"/>
    <w:rsid w:val="6B180725"/>
    <w:rsid w:val="6DD4077E"/>
    <w:rsid w:val="6E25722B"/>
    <w:rsid w:val="6E967554"/>
    <w:rsid w:val="6F12563D"/>
    <w:rsid w:val="6F822830"/>
    <w:rsid w:val="6F86167C"/>
    <w:rsid w:val="7151682E"/>
    <w:rsid w:val="7167746A"/>
    <w:rsid w:val="7223275E"/>
    <w:rsid w:val="72492FC8"/>
    <w:rsid w:val="73225F2F"/>
    <w:rsid w:val="734755FE"/>
    <w:rsid w:val="73D04AB5"/>
    <w:rsid w:val="740B407E"/>
    <w:rsid w:val="752C2ECF"/>
    <w:rsid w:val="76F42224"/>
    <w:rsid w:val="779BBBAA"/>
    <w:rsid w:val="77E0586A"/>
    <w:rsid w:val="78847358"/>
    <w:rsid w:val="79B61034"/>
    <w:rsid w:val="79EA04D2"/>
    <w:rsid w:val="7A3F1D7D"/>
    <w:rsid w:val="7C292FC9"/>
    <w:rsid w:val="7CAA4538"/>
    <w:rsid w:val="7D0175BF"/>
    <w:rsid w:val="7D0555D0"/>
    <w:rsid w:val="7E1A3322"/>
    <w:rsid w:val="7F7D15F3"/>
    <w:rsid w:val="7F9F7384"/>
    <w:rsid w:val="7FB05C27"/>
    <w:rsid w:val="B6DE65C8"/>
    <w:rsid w:val="C5DFACDE"/>
    <w:rsid w:val="F76D38D1"/>
    <w:rsid w:val="FEDFC7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adjustRightInd w:val="0"/>
      <w:snapToGrid w:val="0"/>
      <w:spacing w:before="260" w:after="260" w:line="413" w:lineRule="auto"/>
      <w:jc w:val="left"/>
      <w:outlineLvl w:val="1"/>
    </w:pPr>
    <w:rPr>
      <w:rFonts w:ascii="Arial" w:hAnsi="Arial" w:eastAsia="黑体" w:cs="Times New Roman"/>
      <w:b/>
      <w:kern w:val="0"/>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adjustRightInd w:val="0"/>
      <w:snapToGrid w:val="0"/>
      <w:spacing w:line="360" w:lineRule="auto"/>
      <w:ind w:firstLine="611" w:firstLineChars="191"/>
    </w:pPr>
    <w:rPr>
      <w:rFonts w:ascii="Times New Roman" w:hAnsi="Times New Roman"/>
      <w:szCs w:val="20"/>
    </w:rPr>
  </w:style>
  <w:style w:type="paragraph" w:styleId="4">
    <w:name w:val="Body Text"/>
    <w:basedOn w:val="1"/>
    <w:next w:val="5"/>
    <w:qFormat/>
    <w:uiPriority w:val="0"/>
    <w:pPr>
      <w:spacing w:after="120"/>
    </w:pPr>
  </w:style>
  <w:style w:type="paragraph" w:styleId="5">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w:basedOn w:val="4"/>
    <w:next w:val="11"/>
    <w:qFormat/>
    <w:uiPriority w:val="0"/>
    <w:pPr>
      <w:ind w:firstLine="420" w:firstLineChars="100"/>
    </w:pPr>
  </w:style>
  <w:style w:type="paragraph" w:styleId="11">
    <w:name w:val="Body Text First Indent 2"/>
    <w:basedOn w:val="6"/>
    <w:next w:val="6"/>
    <w:qFormat/>
    <w:uiPriority w:val="0"/>
    <w:pPr>
      <w:spacing w:after="0"/>
      <w:ind w:left="200" w:firstLine="420"/>
    </w:pPr>
    <w:rPr>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997</Words>
  <Characters>5689</Characters>
  <Lines>47</Lines>
  <Paragraphs>13</Paragraphs>
  <TotalTime>0</TotalTime>
  <ScaleCrop>false</ScaleCrop>
  <LinksUpToDate>false</LinksUpToDate>
  <CharactersWithSpaces>6673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2023-06-06T15:25:00Z</dcterms:created>
  <dc:creator>夜白</dc:creator>
  <cp:lastModifiedBy>user</cp:lastModifiedBy>
  <cp:lastPrinted>2023-06-30T01:32:00Z</cp:lastPrinted>
  <dcterms:modified xsi:type="dcterms:W3CDTF">2024-07-09T10:56:51Z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0749C43DE7694022881882F4E53C7860_11</vt:lpwstr>
  </property>
</Properties>
</file>