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color w:val="FF0000"/>
          <w:spacing w:val="-20"/>
          <w:sz w:val="21"/>
          <w:szCs w:val="21"/>
        </w:rPr>
      </w:pPr>
    </w:p>
    <w:p>
      <w:pPr>
        <w:jc w:val="center"/>
        <w:rPr>
          <w:rFonts w:hint="eastAsia" w:ascii="方正小标宋简体" w:eastAsia="方正小标宋简体"/>
          <w:spacing w:val="-20"/>
          <w:sz w:val="80"/>
          <w:szCs w:val="80"/>
        </w:rPr>
      </w:pPr>
      <w:r>
        <w:rPr>
          <w:rFonts w:hint="eastAsia" w:ascii="方正小标宋简体" w:eastAsia="方正小标宋简体"/>
          <w:bCs/>
          <w:color w:val="FF0000"/>
          <w:spacing w:val="-20"/>
          <w:sz w:val="80"/>
          <w:szCs w:val="80"/>
        </w:rPr>
        <w:t>慈溪市自然资源和规划局</w:t>
      </w:r>
    </w:p>
    <w:p>
      <w:pPr>
        <w:spacing w:line="340" w:lineRule="exact"/>
        <w:jc w:val="center"/>
        <w:rPr>
          <w:rFonts w:hint="eastAsia" w:ascii="仿宋_GB2312"/>
          <w:sz w:val="32"/>
          <w:szCs w:val="32"/>
        </w:rPr>
      </w:pPr>
    </w:p>
    <w:p>
      <w:pPr>
        <w:spacing w:line="340" w:lineRule="exact"/>
        <w:jc w:val="center"/>
        <w:rPr>
          <w:rFonts w:hint="eastAsia" w:ascii="仿宋_GB2312"/>
          <w:sz w:val="32"/>
          <w:szCs w:val="32"/>
        </w:rPr>
      </w:pPr>
    </w:p>
    <w:p>
      <w:pPr>
        <w:pStyle w:val="3"/>
        <w:spacing w:before="0" w:beforeAutospacing="0" w:after="0" w:afterAutospacing="0" w:line="560" w:lineRule="exact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187960</wp:posOffset>
                </wp:positionV>
                <wp:extent cx="5600700" cy="0"/>
                <wp:effectExtent l="0" t="13970" r="0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35pt;margin-top:14.8pt;height:0pt;width:441pt;z-index:251659264;mso-width-relative:page;mso-height-relative:page;" filled="f" stroked="t" coordsize="21600,21600" o:gfxdata="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76eW/TAAAACAEAAA8AAAAAAAAA&#10;AQAgAAAAIgAAAGRycy9kb3ducmV2LnhtbFBLAQIUABQAAAAIAIdO4kA0DrDG3QEAAJcDAAAOAAAA&#10;AAAAAAEAIAAAACI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十七届</w:t>
      </w:r>
      <w:r>
        <w:rPr>
          <w:rFonts w:hint="eastAsia" w:ascii="方正小标宋简体" w:eastAsia="方正小标宋简体"/>
          <w:sz w:val="44"/>
          <w:szCs w:val="44"/>
        </w:rPr>
        <w:t>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五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市农业农村局</w:t>
      </w:r>
      <w:r>
        <w:rPr>
          <w:rFonts w:hint="eastAsia" w:ascii="仿宋_GB2312" w:eastAsia="仿宋_GB2312"/>
          <w:sz w:val="32"/>
        </w:rPr>
        <w:t>：</w:t>
      </w:r>
    </w:p>
    <w:p>
      <w:pPr>
        <w:pStyle w:val="3"/>
        <w:spacing w:before="0" w:beforeAutospacing="0" w:after="0" w:afterAutospacing="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沈建江代表</w:t>
      </w:r>
      <w:r>
        <w:rPr>
          <w:rFonts w:hint="eastAsia" w:ascii="仿宋_GB2312" w:hAnsi="宋体" w:eastAsia="仿宋_GB2312"/>
          <w:sz w:val="32"/>
          <w:szCs w:val="32"/>
        </w:rPr>
        <w:t>在市十七届人大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/>
          <w:sz w:val="32"/>
          <w:szCs w:val="32"/>
        </w:rPr>
        <w:t>次会议大会期间提出的《关于深化“一村一品”助力乡村振兴的建议》（第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号）建议已收悉。经研究，现就有关协办意见答复如下：</w:t>
      </w:r>
    </w:p>
    <w:p>
      <w:pPr>
        <w:pStyle w:val="3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关于加强用地政策扶持力度的建议。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一直以来，我局高度重视乡村振兴发展和新农村建设，每年</w:t>
      </w:r>
      <w:r>
        <w:rPr>
          <w:rFonts w:ascii="仿宋_GB2312" w:eastAsia="仿宋_GB2312"/>
          <w:sz w:val="32"/>
          <w:szCs w:val="32"/>
        </w:rPr>
        <w:t>专项安排用地指标用于</w:t>
      </w:r>
      <w:r>
        <w:rPr>
          <w:rFonts w:hint="eastAsia" w:ascii="仿宋_GB2312" w:eastAsia="仿宋_GB2312"/>
          <w:sz w:val="32"/>
          <w:szCs w:val="32"/>
          <w:lang w:eastAsia="zh-CN"/>
        </w:rPr>
        <w:t>乡村振兴项目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主要包括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个人建房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ascii="仿宋_GB2312" w:eastAsia="仿宋_GB2312"/>
          <w:sz w:val="32"/>
          <w:szCs w:val="32"/>
        </w:rPr>
        <w:t>惠民楼、文化礼堂、活动中心、</w:t>
      </w:r>
      <w:r>
        <w:rPr>
          <w:rFonts w:hint="eastAsia" w:ascii="仿宋_GB2312" w:eastAsia="仿宋_GB2312"/>
          <w:sz w:val="32"/>
          <w:szCs w:val="32"/>
          <w:lang w:eastAsia="zh-CN"/>
        </w:rPr>
        <w:t>村级</w:t>
      </w:r>
      <w:r>
        <w:rPr>
          <w:rFonts w:ascii="仿宋_GB2312" w:eastAsia="仿宋_GB2312"/>
          <w:sz w:val="32"/>
          <w:szCs w:val="32"/>
        </w:rPr>
        <w:t>标准厂房等</w:t>
      </w:r>
      <w:r>
        <w:rPr>
          <w:rFonts w:hint="eastAsia" w:ascii="仿宋_GB2312" w:eastAsia="仿宋_GB2312"/>
          <w:sz w:val="32"/>
          <w:szCs w:val="32"/>
          <w:lang w:eastAsia="zh-CN"/>
        </w:rPr>
        <w:t>民生</w:t>
      </w:r>
      <w:r>
        <w:rPr>
          <w:rFonts w:ascii="仿宋_GB2312" w:eastAsia="仿宋_GB2312"/>
          <w:sz w:val="32"/>
          <w:szCs w:val="32"/>
        </w:rPr>
        <w:t>和三产项目用地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近三年</w:t>
      </w:r>
      <w:r>
        <w:rPr>
          <w:rFonts w:ascii="仿宋_GB2312" w:eastAsia="仿宋_GB2312"/>
          <w:color w:val="auto"/>
          <w:sz w:val="32"/>
          <w:szCs w:val="32"/>
        </w:rPr>
        <w:t>保障村级发展用地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652</w:t>
      </w:r>
      <w:r>
        <w:rPr>
          <w:rFonts w:ascii="仿宋_GB2312" w:eastAsia="仿宋_GB2312"/>
          <w:color w:val="auto"/>
          <w:sz w:val="32"/>
          <w:szCs w:val="32"/>
        </w:rPr>
        <w:t>亩，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优先满足农业农村发展要素配置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今年用地保障实行“计划指标与</w:t>
      </w:r>
      <w:r>
        <w:rPr>
          <w:rFonts w:hint="eastAsia" w:ascii="仿宋_GB2312" w:hAnsi="黑体" w:eastAsia="仿宋_GB2312"/>
          <w:bCs/>
          <w:sz w:val="32"/>
          <w:szCs w:val="32"/>
        </w:rPr>
        <w:t>存量处置挂钩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</w:t>
      </w:r>
      <w:r>
        <w:rPr>
          <w:rFonts w:hint="eastAsia" w:ascii="仿宋_GB2312" w:hAnsi="宋体" w:eastAsia="仿宋_GB2312"/>
          <w:sz w:val="32"/>
          <w:szCs w:val="32"/>
        </w:rPr>
        <w:t>除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宁波市</w:t>
      </w:r>
      <w:r>
        <w:rPr>
          <w:rFonts w:hint="eastAsia" w:ascii="仿宋_GB2312" w:hAnsi="宋体" w:eastAsia="仿宋_GB2312"/>
          <w:sz w:val="32"/>
          <w:szCs w:val="32"/>
        </w:rPr>
        <w:t>级以上重点项目直接配置计划指标外，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其他</w:t>
      </w:r>
      <w:r>
        <w:rPr>
          <w:rFonts w:hint="eastAsia" w:ascii="仿宋_GB2312" w:hAnsi="宋体" w:eastAsia="仿宋_GB2312"/>
          <w:sz w:val="32"/>
          <w:szCs w:val="32"/>
        </w:rPr>
        <w:t>一般项目用地指标与存量土地处置完全挂钩，是指标唯一来源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；同时</w:t>
      </w:r>
      <w:r>
        <w:rPr>
          <w:rFonts w:hint="eastAsia" w:ascii="仿宋_GB2312" w:hAnsi="Calibri" w:eastAsia="仿宋_GB2312"/>
          <w:b w:val="0"/>
          <w:bCs w:val="0"/>
          <w:color w:val="auto"/>
          <w:sz w:val="32"/>
          <w:szCs w:val="32"/>
          <w:lang w:eastAsia="zh-CN"/>
        </w:rPr>
        <w:t>要求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“土地要素跟着项目走”，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基础设施、社会公建类项目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要明确具体项目，并纳入城镇开发边界划定方案拟实施的近期重大工程清单，产业类项目要符合国家和省产业政策，除农村一二三产业融合发展用地，其余产业项目须选址在城镇开发边界的工业区块内。</w:t>
      </w:r>
      <w:r>
        <w:rPr>
          <w:rFonts w:hint="eastAsia" w:ascii="仿宋_GB2312" w:hAnsi="宋体" w:eastAsia="仿宋_GB2312"/>
          <w:sz w:val="32"/>
          <w:szCs w:val="32"/>
        </w:rPr>
        <w:t>下阶段，我局将全面实施“增存挂钩”机制，建立完善以项目定指标的要素精准配置机制，落实“要素跟着项目走”原则，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建议农村</w:t>
      </w:r>
      <w:bookmarkStart w:id="0" w:name="_GoBack"/>
      <w:r>
        <w:rPr>
          <w:rFonts w:hint="eastAsia" w:ascii="仿宋_GB2312" w:hAnsi="宋体" w:eastAsia="仿宋_GB2312"/>
          <w:sz w:val="32"/>
          <w:szCs w:val="32"/>
          <w:lang w:eastAsia="zh-CN"/>
        </w:rPr>
        <w:t>产</w:t>
      </w:r>
      <w:bookmarkEnd w:id="0"/>
      <w:r>
        <w:rPr>
          <w:rFonts w:hint="eastAsia" w:ascii="仿宋_GB2312" w:hAnsi="宋体" w:eastAsia="仿宋_GB2312"/>
          <w:sz w:val="32"/>
          <w:szCs w:val="32"/>
          <w:lang w:eastAsia="zh-CN"/>
        </w:rPr>
        <w:t>业融合项目进一步明确项目类型，做好立项、选址和预审等前期准备工作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，对前期成熟、符合上级要求的项目积极向上级争取用地指标。</w:t>
      </w:r>
    </w:p>
    <w:p>
      <w:pPr>
        <w:pStyle w:val="3"/>
        <w:spacing w:before="0" w:beforeAutospacing="0" w:after="0" w:afterAutospacing="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特此致函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　　　　　　　　　　　</w:t>
      </w:r>
      <w:r>
        <w:rPr>
          <w:rFonts w:hint="eastAsia" w:ascii="仿宋_GB2312" w:eastAsia="仿宋_GB2312"/>
          <w:sz w:val="32"/>
          <w:lang w:eastAsia="zh-CN"/>
        </w:rPr>
        <w:t>慈溪市自然资源和规划局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2021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10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联 系 人：</w:t>
      </w:r>
      <w:r>
        <w:rPr>
          <w:rFonts w:hint="eastAsia" w:ascii="仿宋_GB2312" w:eastAsia="仿宋_GB2312"/>
          <w:sz w:val="32"/>
          <w:lang w:eastAsia="zh-CN"/>
        </w:rPr>
        <w:t>施秧秧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/>
          <w:sz w:val="32"/>
          <w:szCs w:val="32"/>
          <w:lang w:val="en-US"/>
        </w:rPr>
        <w:sectPr>
          <w:headerReference r:id="rId3" w:type="default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</w:rPr>
        <w:t>　　联系电话：</w:t>
      </w:r>
      <w:r>
        <w:rPr>
          <w:rFonts w:hint="eastAsia" w:ascii="仿宋_GB2312" w:eastAsia="仿宋_GB2312"/>
          <w:sz w:val="32"/>
          <w:lang w:val="en-US" w:eastAsia="zh-CN"/>
        </w:rPr>
        <w:t>67001108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45E5E"/>
    <w:rsid w:val="00A10734"/>
    <w:rsid w:val="2CE451E0"/>
    <w:rsid w:val="3C2D7751"/>
    <w:rsid w:val="4AF55205"/>
    <w:rsid w:val="5E0B1B8F"/>
    <w:rsid w:val="60366E62"/>
    <w:rsid w:val="69700FF9"/>
    <w:rsid w:val="7184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2021-04-29T02:51:00Z</dcterms:created>
  <dc:creator>聪聪(^.^)CC</dc:creator>
  <cp:lastModifiedBy>聪聪(^.^)CC</cp:lastModifiedBy>
  <dcterms:modified xsi:type="dcterms:W3CDTF">2021-05-07T07:47:45Z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