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ascii="宋体" w:hAnsi="宋体" w:eastAsiaTheme="minorEastAsia"/>
          <w:b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关于完善长河镇辖区内有关交通设施建议</w:t>
      </w:r>
      <w:r>
        <w:rPr>
          <w:rFonts w:hint="eastAsia" w:ascii="宋体" w:hAnsi="宋体"/>
          <w:b/>
          <w:sz w:val="44"/>
          <w:szCs w:val="44"/>
          <w:lang w:eastAsia="zh-CN"/>
        </w:rPr>
        <w:t>的协办意见</w:t>
      </w:r>
    </w:p>
    <w:bookmarkEnd w:id="0"/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中横线为市级道路，道路管理权限在市交通局。我镇将根据实际需求向市交通局进行反映，在以上路口安装相应数量的设备。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2018年芦庵公路改造时，市交通局已计划在老街口和贤江大道口安装信号灯，其余路口完善相关标志标线。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BFB595"/>
    <w:multiLevelType w:val="singleLevel"/>
    <w:tmpl w:val="CBBFB5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86DF1"/>
    <w:rsid w:val="4B313E96"/>
    <w:rsid w:val="58F37008"/>
    <w:rsid w:val="5E386DF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2018-04-24T03:00:00Z</dcterms:created>
  <dc:creator>大又</dc:creator>
  <cp:lastModifiedBy>Administrator</cp:lastModifiedBy>
  <dcterms:modified xsi:type="dcterms:W3CDTF">2018-05-04T09:46:22Z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