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8" w:rsidRDefault="003D5244" w:rsidP="0083725E">
      <w:pPr>
        <w:widowControl/>
        <w:ind w:firstLineChars="2300" w:firstLine="7130"/>
        <w:rPr>
          <w:rFonts w:ascii="黑体" w:eastAsia="黑体"/>
          <w:sz w:val="32"/>
        </w:rPr>
      </w:pPr>
      <w:r>
        <w:rPr>
          <w:rFonts w:ascii="黑体" w:eastAsia="黑体" w:hint="eastAsia"/>
          <w:sz w:val="32"/>
        </w:rPr>
        <w:t>类别标记：A</w:t>
      </w:r>
    </w:p>
    <w:p w:rsidR="00CA1968" w:rsidRDefault="00CA1968" w:rsidP="0083725E">
      <w:pPr>
        <w:widowControl/>
        <w:ind w:firstLineChars="1900" w:firstLine="11827"/>
        <w:rPr>
          <w:rFonts w:ascii="新宋体" w:eastAsia="新宋体" w:hAnsi="新宋体" w:cs="宋体"/>
          <w:b/>
          <w:bCs/>
          <w:color w:val="FF0000"/>
          <w:kern w:val="0"/>
          <w:sz w:val="63"/>
          <w:szCs w:val="63"/>
        </w:rPr>
      </w:pPr>
    </w:p>
    <w:p w:rsidR="00CA1968" w:rsidRDefault="003D5244">
      <w:pPr>
        <w:widowControl/>
        <w:jc w:val="center"/>
        <w:rPr>
          <w:rFonts w:ascii="宋体" w:hAnsi="宋体" w:cs="宋体"/>
          <w:color w:val="000000"/>
          <w:kern w:val="0"/>
          <w:sz w:val="24"/>
        </w:rPr>
      </w:pPr>
      <w:r>
        <w:rPr>
          <w:rFonts w:ascii="方正小标宋简体" w:eastAsia="方正小标宋简体" w:hAnsi="新宋体" w:cs="宋体" w:hint="eastAsia"/>
          <w:bCs/>
          <w:color w:val="FF0000"/>
          <w:spacing w:val="1"/>
          <w:w w:val="84"/>
          <w:kern w:val="0"/>
          <w:sz w:val="72"/>
          <w:szCs w:val="72"/>
          <w:fitText w:val="7950" w:id="-1762382336"/>
        </w:rPr>
        <w:t>慈溪市金融发展服务中心文</w:t>
      </w:r>
      <w:r>
        <w:rPr>
          <w:rFonts w:ascii="方正小标宋简体" w:eastAsia="方正小标宋简体" w:hAnsi="新宋体" w:cs="宋体" w:hint="eastAsia"/>
          <w:bCs/>
          <w:color w:val="FF0000"/>
          <w:spacing w:val="51"/>
          <w:w w:val="84"/>
          <w:kern w:val="0"/>
          <w:sz w:val="72"/>
          <w:szCs w:val="72"/>
          <w:fitText w:val="7950" w:id="-1762382336"/>
        </w:rPr>
        <w:t>件</w:t>
      </w:r>
    </w:p>
    <w:p w:rsidR="00CA1968" w:rsidRDefault="00CA1968">
      <w:pPr>
        <w:widowControl/>
        <w:jc w:val="center"/>
        <w:rPr>
          <w:rFonts w:ascii="宋体" w:hAnsi="宋体" w:cs="宋体"/>
          <w:color w:val="000000"/>
          <w:kern w:val="0"/>
          <w:sz w:val="24"/>
        </w:rPr>
      </w:pPr>
    </w:p>
    <w:p w:rsidR="00CA1968" w:rsidRDefault="003D5244" w:rsidP="0083725E">
      <w:pPr>
        <w:widowControl/>
        <w:ind w:firstLineChars="100" w:firstLine="310"/>
        <w:rPr>
          <w:rFonts w:ascii="宋体" w:hAnsi="宋体" w:cs="宋体"/>
          <w:color w:val="000000"/>
          <w:kern w:val="0"/>
          <w:sz w:val="24"/>
        </w:rPr>
      </w:pPr>
      <w:r>
        <w:rPr>
          <w:rFonts w:ascii="仿宋_GB2312" w:eastAsia="仿宋_GB2312" w:hint="eastAsia"/>
          <w:sz w:val="32"/>
          <w:szCs w:val="32"/>
        </w:rPr>
        <w:t>慈金建〔202</w:t>
      </w:r>
      <w:r w:rsidR="0083725E">
        <w:rPr>
          <w:rFonts w:ascii="仿宋_GB2312" w:eastAsia="仿宋_GB2312" w:hint="eastAsia"/>
          <w:sz w:val="32"/>
          <w:szCs w:val="32"/>
        </w:rPr>
        <w:t>5</w:t>
      </w:r>
      <w:r>
        <w:rPr>
          <w:rFonts w:ascii="仿宋_GB2312" w:eastAsia="仿宋_GB2312" w:hint="eastAsia"/>
          <w:sz w:val="32"/>
          <w:szCs w:val="32"/>
        </w:rPr>
        <w:t>〕</w:t>
      </w:r>
      <w:r w:rsidR="0056023A">
        <w:rPr>
          <w:rFonts w:ascii="仿宋_GB2312" w:eastAsia="仿宋_GB2312" w:hint="eastAsia"/>
          <w:sz w:val="32"/>
          <w:szCs w:val="32"/>
        </w:rPr>
        <w:t>1</w:t>
      </w:r>
      <w:r>
        <w:rPr>
          <w:rFonts w:ascii="仿宋_GB2312" w:eastAsia="仿宋_GB2312" w:hint="eastAsia"/>
          <w:sz w:val="32"/>
          <w:szCs w:val="32"/>
        </w:rPr>
        <w:t>号                      签发人:陈庆杰</w:t>
      </w:r>
    </w:p>
    <w:p w:rsidR="00CA1968" w:rsidRDefault="00E7061A">
      <w:pPr>
        <w:widowControl/>
        <w:jc w:val="center"/>
        <w:rPr>
          <w:rFonts w:ascii="宋体" w:hAnsi="宋体" w:cs="宋体"/>
          <w:color w:val="000000"/>
          <w:kern w:val="0"/>
          <w:sz w:val="24"/>
        </w:rPr>
      </w:pPr>
      <w:r w:rsidRPr="00E7061A">
        <w:rPr>
          <w:rFonts w:ascii="宋体" w:hAnsi="宋体" w:cs="宋体"/>
          <w:color w:val="000000"/>
          <w:kern w:val="0"/>
          <w:sz w:val="24"/>
        </w:rPr>
        <w:pict>
          <v:rect id="_x0000_i1025" style="width:407pt;height:1.5pt" o:hrpct="980" o:hralign="center" o:hrstd="t" o:hrnoshade="t" o:hr="t" fillcolor="red" stroked="f"/>
        </w:pict>
      </w:r>
    </w:p>
    <w:p w:rsidR="00CA1968" w:rsidRDefault="003D5244" w:rsidP="0083725E">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83725E">
        <w:rPr>
          <w:rFonts w:ascii="方正小标宋简体" w:eastAsia="方正小标宋简体" w:hint="eastAsia"/>
          <w:bCs/>
          <w:color w:val="000000"/>
          <w:sz w:val="44"/>
          <w:szCs w:val="44"/>
        </w:rPr>
        <w:t>市人大十八届四次会议第180号</w:t>
      </w:r>
      <w:r>
        <w:rPr>
          <w:rFonts w:ascii="方正小标宋简体" w:eastAsia="方正小标宋简体" w:hAnsi="方正小标宋简体" w:cs="方正小标宋简体" w:hint="eastAsia"/>
          <w:sz w:val="44"/>
          <w:szCs w:val="44"/>
        </w:rPr>
        <w:t>建议的</w:t>
      </w:r>
    </w:p>
    <w:p w:rsidR="00CA1968" w:rsidRDefault="003D5244" w:rsidP="0083725E">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答复</w:t>
      </w:r>
    </w:p>
    <w:p w:rsidR="00CA1968" w:rsidRDefault="00CA1968" w:rsidP="0083725E">
      <w:pPr>
        <w:spacing w:line="560" w:lineRule="exact"/>
        <w:rPr>
          <w:rFonts w:ascii="仿宋_GB2312" w:eastAsia="仿宋_GB2312"/>
          <w:color w:val="000000" w:themeColor="text1"/>
          <w:sz w:val="32"/>
          <w:szCs w:val="32"/>
        </w:rPr>
      </w:pPr>
    </w:p>
    <w:p w:rsidR="0083725E" w:rsidRDefault="0083725E" w:rsidP="0083725E">
      <w:pPr>
        <w:spacing w:line="560" w:lineRule="exact"/>
        <w:rPr>
          <w:rFonts w:ascii="仿宋_GB2312" w:eastAsia="仿宋_GB2312"/>
          <w:sz w:val="32"/>
          <w:szCs w:val="32"/>
        </w:rPr>
      </w:pPr>
      <w:r>
        <w:rPr>
          <w:rFonts w:ascii="仿宋_GB2312" w:eastAsia="仿宋_GB2312" w:hAnsi="宋体" w:hint="eastAsia"/>
          <w:sz w:val="32"/>
          <w:szCs w:val="32"/>
        </w:rPr>
        <w:t>潘若翰代表：</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您提出的《关于防范企业破产风险的建议》已收悉。感谢您长期以来对我市金融风险防控和优化营商环境工作的关心与支持。您的建议围绕企业破产引发的连锁风险，提出了加强法律监督、建立风险预警、完善协调机制等举措，具有很强的现实针对性和前瞻性。经认真研究，结合市法院、经信、税务、审计、金融监管等相关单位的协办意见，现将有关办理情况答复如下：</w:t>
      </w:r>
    </w:p>
    <w:p w:rsidR="0083725E" w:rsidRDefault="0083725E" w:rsidP="0083725E">
      <w:pPr>
        <w:spacing w:line="560" w:lineRule="exact"/>
        <w:ind w:firstLineChars="200" w:firstLine="620"/>
        <w:rPr>
          <w:rFonts w:ascii="黑体" w:eastAsia="黑体" w:hAnsi="黑体" w:cs="黑体"/>
          <w:sz w:val="32"/>
          <w:szCs w:val="32"/>
        </w:rPr>
      </w:pPr>
      <w:r>
        <w:rPr>
          <w:rFonts w:ascii="黑体" w:eastAsia="黑体" w:hAnsi="黑体" w:cs="黑体" w:hint="eastAsia"/>
          <w:kern w:val="0"/>
          <w:sz w:val="32"/>
          <w:szCs w:val="32"/>
        </w:rPr>
        <w:t>一、强化金融源头治理，提升破产审判规范化水平</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（一）从源头提升企业抗风险能力</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int="eastAsia"/>
          <w:sz w:val="32"/>
          <w:szCs w:val="32"/>
        </w:rPr>
        <w:t>1</w:t>
      </w:r>
      <w:r w:rsidR="0056023A">
        <w:rPr>
          <w:rFonts w:ascii="仿宋_GB2312" w:eastAsia="仿宋_GB2312" w:hint="eastAsia"/>
          <w:sz w:val="32"/>
          <w:szCs w:val="32"/>
        </w:rPr>
        <w:t>．</w:t>
      </w:r>
      <w:r>
        <w:rPr>
          <w:rFonts w:ascii="仿宋_GB2312" w:eastAsia="仿宋_GB2312" w:hAnsi="宋体" w:hint="eastAsia"/>
          <w:sz w:val="32"/>
          <w:szCs w:val="32"/>
        </w:rPr>
        <w:t>动态监管企业经营行为。市金融发展服务中心联合行业协会，定期组织企业开展合规培训，发布破产典型案例白皮书，推</w:t>
      </w:r>
      <w:r>
        <w:rPr>
          <w:rFonts w:ascii="仿宋_GB2312" w:eastAsia="仿宋_GB2312" w:hAnsi="宋体" w:hint="eastAsia"/>
          <w:sz w:val="32"/>
          <w:szCs w:val="32"/>
        </w:rPr>
        <w:lastRenderedPageBreak/>
        <w:t>动企业与金融机构构建“交易前尽调—交易中担保—交易后跟踪”的全过程风控机制，防范盲目扩张与过度负债。</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2</w:t>
      </w:r>
      <w:r w:rsidR="0056023A">
        <w:rPr>
          <w:rFonts w:ascii="仿宋_GB2312" w:eastAsia="仿宋_GB2312" w:hAnsi="宋体" w:hint="eastAsia"/>
          <w:sz w:val="32"/>
          <w:szCs w:val="32"/>
        </w:rPr>
        <w:t>．</w:t>
      </w:r>
      <w:r>
        <w:rPr>
          <w:rFonts w:ascii="仿宋_GB2312" w:eastAsia="仿宋_GB2312" w:hAnsi="宋体" w:hint="eastAsia"/>
          <w:sz w:val="32"/>
          <w:szCs w:val="32"/>
        </w:rPr>
        <w:t>优化信贷资源配置。推动设立企业纾困专项基金，引导财政资金与社会资本共同参与，优先保障临时困难但具有发展潜力的企业，特别是战略性新兴产业、重点产业链企业的流动性需求。</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3</w:t>
      </w:r>
      <w:r w:rsidR="0056023A">
        <w:rPr>
          <w:rFonts w:ascii="仿宋_GB2312" w:eastAsia="仿宋_GB2312" w:hAnsi="宋体" w:hint="eastAsia"/>
          <w:sz w:val="32"/>
          <w:szCs w:val="32"/>
        </w:rPr>
        <w:t>．</w:t>
      </w:r>
      <w:r>
        <w:rPr>
          <w:rFonts w:ascii="仿宋_GB2312" w:eastAsia="仿宋_GB2312" w:hAnsi="宋体" w:hint="eastAsia"/>
          <w:sz w:val="32"/>
          <w:szCs w:val="32"/>
        </w:rPr>
        <w:t>建立协同处置机制。组建重大风险企业联合专班，推动金融机构落实“不抽贷、不压贷、不诉讼”临时保护措施，防范风险扩散。</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（二）推进破产审判体系规范化</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1</w:t>
      </w:r>
      <w:r w:rsidR="0056023A">
        <w:rPr>
          <w:rFonts w:ascii="仿宋_GB2312" w:eastAsia="仿宋_GB2312" w:hAnsi="宋体" w:hint="eastAsia"/>
          <w:sz w:val="32"/>
          <w:szCs w:val="32"/>
        </w:rPr>
        <w:t>．</w:t>
      </w:r>
      <w:r>
        <w:rPr>
          <w:rFonts w:ascii="仿宋_GB2312" w:eastAsia="仿宋_GB2312" w:hAnsi="宋体" w:hint="eastAsia"/>
          <w:sz w:val="32"/>
          <w:szCs w:val="32"/>
        </w:rPr>
        <w:t>完善简易审机制。慈溪法院根据浙江高院指导意见，优化简易破产程序适用范围，简化资产评估与审计流程，提高破产效率，破解程序性空转难题。</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2</w:t>
      </w:r>
      <w:r w:rsidR="0056023A">
        <w:rPr>
          <w:rFonts w:ascii="仿宋_GB2312" w:eastAsia="仿宋_GB2312" w:hAnsi="宋体" w:hint="eastAsia"/>
          <w:sz w:val="32"/>
          <w:szCs w:val="32"/>
        </w:rPr>
        <w:t>．</w:t>
      </w:r>
      <w:r>
        <w:rPr>
          <w:rFonts w:ascii="仿宋_GB2312" w:eastAsia="仿宋_GB2312" w:hAnsi="宋体" w:hint="eastAsia"/>
          <w:sz w:val="32"/>
          <w:szCs w:val="32"/>
        </w:rPr>
        <w:t>强化专业化团队建设。设立由员额法官、法官助理、书记员组成的破产审判专门团队，实现集中审理、专业化运作。</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3</w:t>
      </w:r>
      <w:r w:rsidR="0056023A">
        <w:rPr>
          <w:rFonts w:ascii="仿宋_GB2312" w:eastAsia="仿宋_GB2312" w:hAnsi="宋体" w:hint="eastAsia"/>
          <w:sz w:val="32"/>
          <w:szCs w:val="32"/>
        </w:rPr>
        <w:t>．</w:t>
      </w:r>
      <w:r>
        <w:rPr>
          <w:rFonts w:ascii="仿宋_GB2312" w:eastAsia="仿宋_GB2312" w:hAnsi="宋体" w:hint="eastAsia"/>
          <w:sz w:val="32"/>
          <w:szCs w:val="32"/>
        </w:rPr>
        <w:t>推动“府院联动”机制落地。通过召开协调会议，解决涉破产案件中资产处置、职工安置等疑难问题，加快困境企业有序退出或重整。</w:t>
      </w:r>
    </w:p>
    <w:p w:rsidR="0083725E" w:rsidRDefault="0083725E" w:rsidP="0083725E">
      <w:pPr>
        <w:spacing w:line="560" w:lineRule="exact"/>
        <w:ind w:firstLineChars="200" w:firstLine="620"/>
        <w:rPr>
          <w:rFonts w:ascii="黑体" w:eastAsia="黑体" w:hAnsi="黑体" w:cs="黑体"/>
          <w:sz w:val="32"/>
          <w:szCs w:val="32"/>
        </w:rPr>
      </w:pPr>
      <w:r>
        <w:rPr>
          <w:rFonts w:ascii="黑体" w:eastAsia="黑体" w:hAnsi="黑体" w:cs="黑体" w:hint="eastAsia"/>
          <w:kern w:val="0"/>
          <w:sz w:val="32"/>
          <w:szCs w:val="32"/>
        </w:rPr>
        <w:t>二、完善企业风险监测预警与分类处置体系</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（一）推动制造业转型升级，提升企业发展韧性</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由市经信局牵头，持续推进我市制造业向高端化、智能化、绿色化方向转型，增强企业的技术支撑与市场适应能力。</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1</w:t>
      </w:r>
      <w:r w:rsidR="0056023A">
        <w:rPr>
          <w:rFonts w:ascii="仿宋_GB2312" w:eastAsia="仿宋_GB2312" w:hAnsi="宋体" w:hint="eastAsia"/>
          <w:sz w:val="32"/>
          <w:szCs w:val="32"/>
        </w:rPr>
        <w:t>．</w:t>
      </w:r>
      <w:r>
        <w:rPr>
          <w:rFonts w:ascii="仿宋_GB2312" w:eastAsia="仿宋_GB2312" w:hAnsi="宋体" w:hint="eastAsia"/>
          <w:sz w:val="32"/>
          <w:szCs w:val="32"/>
        </w:rPr>
        <w:t>落实“专精特新”企业梯度培育政策，推动关键技术企业</w:t>
      </w:r>
      <w:r>
        <w:rPr>
          <w:rFonts w:ascii="仿宋_GB2312" w:eastAsia="仿宋_GB2312" w:hAnsi="宋体" w:hint="eastAsia"/>
          <w:sz w:val="32"/>
          <w:szCs w:val="32"/>
        </w:rPr>
        <w:lastRenderedPageBreak/>
        <w:t>与配套环节强链补链。</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2</w:t>
      </w:r>
      <w:r w:rsidR="0056023A">
        <w:rPr>
          <w:rFonts w:ascii="仿宋_GB2312" w:eastAsia="仿宋_GB2312" w:hAnsi="宋体" w:hint="eastAsia"/>
          <w:sz w:val="32"/>
          <w:szCs w:val="32"/>
        </w:rPr>
        <w:t>．</w:t>
      </w:r>
      <w:r>
        <w:rPr>
          <w:rFonts w:ascii="仿宋_GB2312" w:eastAsia="仿宋_GB2312" w:hAnsi="宋体" w:hint="eastAsia"/>
          <w:sz w:val="32"/>
          <w:szCs w:val="32"/>
        </w:rPr>
        <w:t>实施“一企一策”帮扶机制，定期会商重点企业运行情况，协调要素保障，帮助企业化解实际困难。</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3</w:t>
      </w:r>
      <w:r w:rsidR="0056023A">
        <w:rPr>
          <w:rFonts w:ascii="仿宋_GB2312" w:eastAsia="仿宋_GB2312" w:hAnsi="宋体" w:hint="eastAsia"/>
          <w:sz w:val="32"/>
          <w:szCs w:val="32"/>
        </w:rPr>
        <w:t>．</w:t>
      </w:r>
      <w:r>
        <w:rPr>
          <w:rFonts w:ascii="仿宋_GB2312" w:eastAsia="仿宋_GB2312" w:hAnsi="宋体" w:hint="eastAsia"/>
          <w:sz w:val="32"/>
          <w:szCs w:val="32"/>
        </w:rPr>
        <w:t>推进产业平台整合与升级，支持优质企业技改扩能，增强对市场波动的抵御能力。</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（二）构建多部门协同的风险治理机制</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整合金融、经信、税务、法院、市场监管等部门资源，推进数据共享、信息共识、风险共治，逐步形成跨部门联动、横向协同的企业风险防控体系。</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（三）探索建立企业风险监测预警体系</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依托</w:t>
      </w:r>
      <w:r>
        <w:rPr>
          <w:rFonts w:ascii="仿宋_GB2312" w:eastAsia="仿宋_GB2312" w:hint="eastAsia"/>
          <w:sz w:val="32"/>
          <w:szCs w:val="32"/>
        </w:rPr>
        <w:t>行业主管部门工作</w:t>
      </w:r>
      <w:r>
        <w:rPr>
          <w:rFonts w:ascii="仿宋_GB2312" w:eastAsia="仿宋_GB2312" w:hAnsi="宋体" w:hint="eastAsia"/>
          <w:sz w:val="32"/>
          <w:szCs w:val="32"/>
        </w:rPr>
        <w:t>数据</w:t>
      </w:r>
      <w:r>
        <w:rPr>
          <w:rFonts w:ascii="仿宋_GB2312" w:eastAsia="仿宋_GB2312" w:hint="eastAsia"/>
          <w:sz w:val="32"/>
          <w:szCs w:val="32"/>
        </w:rPr>
        <w:t>、属地风险排查</w:t>
      </w:r>
      <w:r>
        <w:rPr>
          <w:rFonts w:ascii="仿宋_GB2312" w:eastAsia="仿宋_GB2312" w:hAnsi="宋体" w:hint="eastAsia"/>
          <w:sz w:val="32"/>
          <w:szCs w:val="32"/>
        </w:rPr>
        <w:t>，探索建立企业“经营健康指数”，重点监测</w:t>
      </w:r>
      <w:r>
        <w:rPr>
          <w:rFonts w:ascii="仿宋_GB2312" w:eastAsia="仿宋_GB2312" w:hint="eastAsia"/>
          <w:sz w:val="32"/>
          <w:szCs w:val="32"/>
        </w:rPr>
        <w:t>企业经营情况、企业</w:t>
      </w:r>
      <w:r>
        <w:rPr>
          <w:rFonts w:ascii="仿宋_GB2312" w:eastAsia="仿宋_GB2312" w:hAnsi="宋体" w:hint="eastAsia"/>
          <w:sz w:val="32"/>
          <w:szCs w:val="32"/>
        </w:rPr>
        <w:t>现金流、资产负债率、纳税异常等指标，实施分类分级动态管理。</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（四）探索建立“早识别—早干预—早处置”闭环机制</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对预警企业及时采取“一企一策”应对措施，限期提交债务化解方案，必要时协调金融机构进行债务重组。联合律所提供“破产重整+产业整合”服务，并同步建设破产资产信息发布平台，提升透明度与资产变现效率。</w:t>
      </w:r>
    </w:p>
    <w:p w:rsidR="0083725E" w:rsidRDefault="0083725E" w:rsidP="0083725E">
      <w:pPr>
        <w:spacing w:line="560" w:lineRule="exact"/>
        <w:ind w:firstLineChars="200" w:firstLine="620"/>
        <w:rPr>
          <w:rFonts w:ascii="黑体" w:eastAsia="黑体" w:hAnsi="黑体" w:cs="黑体"/>
          <w:sz w:val="32"/>
          <w:szCs w:val="32"/>
        </w:rPr>
      </w:pPr>
      <w:r>
        <w:rPr>
          <w:rFonts w:ascii="黑体" w:eastAsia="黑体" w:hAnsi="黑体" w:cs="黑体" w:hint="eastAsia"/>
          <w:kern w:val="0"/>
          <w:sz w:val="32"/>
          <w:szCs w:val="32"/>
        </w:rPr>
        <w:t>三、完善法律监督与破产管理人履职监管</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（一）健全管理人全流程监管机制</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强化对破产管理人行为的全过程提醒、考核与结果应用，压实管理人责任，提升其专业水平和履职质效。</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（二）建立突发应对与舆情协商机制</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对破产过程中突发问题或社会舆情，建立管理人重大事项报告制度，推动政法协同处置，增强应对能力。</w:t>
      </w:r>
    </w:p>
    <w:p w:rsidR="0083725E" w:rsidRDefault="0083725E" w:rsidP="0083725E">
      <w:pPr>
        <w:spacing w:line="560" w:lineRule="exact"/>
        <w:ind w:firstLineChars="200" w:firstLine="6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（三）保障管理人履职资源</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市法院与财政局联合出台《企业破产援助资金管理和使用暂行办法》，为管理人依法履职提供经费保障。同时探索建立破产司法协作机制，联动法院、公安、市场监管等部门，依法打击“假破产真逃债”等违法行为，防止资产转移与规避执行。</w:t>
      </w:r>
    </w:p>
    <w:p w:rsidR="0083725E" w:rsidRDefault="0083725E" w:rsidP="0083725E">
      <w:pPr>
        <w:spacing w:line="560" w:lineRule="exact"/>
        <w:ind w:firstLineChars="200" w:firstLine="620"/>
        <w:rPr>
          <w:rFonts w:ascii="黑体" w:eastAsia="黑体" w:hAnsi="黑体" w:cs="黑体"/>
          <w:sz w:val="32"/>
          <w:szCs w:val="32"/>
        </w:rPr>
      </w:pPr>
      <w:r>
        <w:rPr>
          <w:rFonts w:ascii="黑体" w:eastAsia="黑体" w:hAnsi="黑体" w:cs="黑体" w:hint="eastAsia"/>
          <w:kern w:val="0"/>
          <w:sz w:val="32"/>
          <w:szCs w:val="32"/>
        </w:rPr>
        <w:t>四、下一步工作安排</w:t>
      </w:r>
    </w:p>
    <w:p w:rsidR="0083725E" w:rsidRDefault="0083725E" w:rsidP="0083725E">
      <w:pPr>
        <w:spacing w:line="560" w:lineRule="exact"/>
        <w:ind w:firstLineChars="200" w:firstLine="620"/>
        <w:rPr>
          <w:rFonts w:ascii="仿宋_GB2312" w:eastAsia="仿宋_GB2312"/>
          <w:sz w:val="32"/>
          <w:szCs w:val="32"/>
        </w:rPr>
      </w:pPr>
      <w:r>
        <w:rPr>
          <w:rFonts w:ascii="仿宋_GB2312" w:eastAsia="仿宋_GB2312" w:hAnsi="宋体" w:hint="eastAsia"/>
          <w:sz w:val="32"/>
          <w:szCs w:val="32"/>
        </w:rPr>
        <w:t>围绕市委“改革创新再深化、攻坚突破攀新高”的工作要求，市金融发展服务中心将持续履行统筹职责，重点推进以下工作：</w:t>
      </w:r>
    </w:p>
    <w:p w:rsidR="0083725E" w:rsidRDefault="0083725E" w:rsidP="0083725E">
      <w:pPr>
        <w:spacing w:line="560" w:lineRule="exact"/>
        <w:ind w:firstLineChars="200" w:firstLine="623"/>
        <w:rPr>
          <w:rFonts w:ascii="仿宋_GB2312" w:eastAsia="仿宋_GB2312"/>
          <w:sz w:val="32"/>
          <w:szCs w:val="32"/>
        </w:rPr>
      </w:pPr>
      <w:r>
        <w:rPr>
          <w:rFonts w:ascii="仿宋_GB2312" w:eastAsia="仿宋_GB2312" w:hint="eastAsia"/>
          <w:b/>
          <w:bCs/>
          <w:sz w:val="32"/>
          <w:szCs w:val="32"/>
        </w:rPr>
        <w:t>一是</w:t>
      </w:r>
      <w:r>
        <w:rPr>
          <w:rFonts w:ascii="仿宋_GB2312" w:eastAsia="仿宋_GB2312" w:hAnsi="宋体" w:hint="eastAsia"/>
          <w:sz w:val="32"/>
          <w:szCs w:val="32"/>
        </w:rPr>
        <w:t>建议建立</w:t>
      </w:r>
      <w:r>
        <w:rPr>
          <w:rFonts w:ascii="仿宋_GB2312" w:eastAsia="仿宋_GB2312" w:hint="eastAsia"/>
          <w:sz w:val="32"/>
          <w:szCs w:val="32"/>
        </w:rPr>
        <w:t>金融</w:t>
      </w:r>
      <w:r>
        <w:rPr>
          <w:rFonts w:ascii="仿宋_GB2312" w:eastAsia="仿宋_GB2312" w:hAnsi="宋体" w:hint="eastAsia"/>
          <w:sz w:val="32"/>
          <w:szCs w:val="32"/>
        </w:rPr>
        <w:t>风险</w:t>
      </w:r>
      <w:r>
        <w:rPr>
          <w:rFonts w:ascii="仿宋_GB2312" w:eastAsia="仿宋_GB2312" w:hint="eastAsia"/>
          <w:sz w:val="32"/>
          <w:szCs w:val="32"/>
        </w:rPr>
        <w:t>监测预警机制</w:t>
      </w:r>
      <w:r>
        <w:rPr>
          <w:rFonts w:ascii="仿宋_GB2312" w:eastAsia="仿宋_GB2312" w:hAnsi="宋体" w:hint="eastAsia"/>
          <w:sz w:val="32"/>
          <w:szCs w:val="32"/>
        </w:rPr>
        <w:t>，整合各方资源，构建“风险识别—信息共享—预警提示—政策干预”的闭环治理体系</w:t>
      </w:r>
      <w:r>
        <w:rPr>
          <w:rFonts w:ascii="仿宋_GB2312" w:eastAsia="仿宋_GB2312" w:hint="eastAsia"/>
          <w:sz w:val="32"/>
          <w:szCs w:val="32"/>
        </w:rPr>
        <w:t>。</w:t>
      </w:r>
      <w:r>
        <w:rPr>
          <w:rFonts w:ascii="仿宋_GB2312" w:eastAsia="仿宋_GB2312" w:hint="eastAsia"/>
          <w:b/>
          <w:bCs/>
          <w:sz w:val="32"/>
          <w:szCs w:val="32"/>
        </w:rPr>
        <w:t>二是</w:t>
      </w:r>
      <w:r>
        <w:rPr>
          <w:rFonts w:ascii="仿宋_GB2312" w:eastAsia="仿宋_GB2312" w:hAnsi="宋体" w:hint="eastAsia"/>
          <w:sz w:val="32"/>
          <w:szCs w:val="32"/>
        </w:rPr>
        <w:t>推动构建企业“健康指数”和“重点关注企业清单”等模型工具，为企业风险分类施策提供决策依据</w:t>
      </w:r>
      <w:r>
        <w:rPr>
          <w:rFonts w:ascii="仿宋_GB2312" w:eastAsia="仿宋_GB2312" w:hint="eastAsia"/>
          <w:sz w:val="32"/>
          <w:szCs w:val="32"/>
        </w:rPr>
        <w:t>。</w:t>
      </w:r>
      <w:r>
        <w:rPr>
          <w:rFonts w:ascii="仿宋_GB2312" w:eastAsia="仿宋_GB2312" w:hint="eastAsia"/>
          <w:b/>
          <w:bCs/>
          <w:sz w:val="32"/>
          <w:szCs w:val="32"/>
        </w:rPr>
        <w:t>三是</w:t>
      </w:r>
      <w:r>
        <w:rPr>
          <w:rFonts w:ascii="仿宋_GB2312" w:eastAsia="仿宋_GB2312" w:hAnsi="宋体" w:hint="eastAsia"/>
          <w:sz w:val="32"/>
          <w:szCs w:val="32"/>
        </w:rPr>
        <w:t>完善企业破产应急处置预案，引导企业通过重整、兼并等方式有序退出</w:t>
      </w:r>
      <w:r>
        <w:rPr>
          <w:rFonts w:ascii="仿宋_GB2312" w:eastAsia="仿宋_GB2312" w:hint="eastAsia"/>
          <w:sz w:val="32"/>
          <w:szCs w:val="32"/>
        </w:rPr>
        <w:t>。</w:t>
      </w:r>
      <w:r>
        <w:rPr>
          <w:rFonts w:ascii="仿宋_GB2312" w:eastAsia="仿宋_GB2312" w:hint="eastAsia"/>
          <w:b/>
          <w:bCs/>
          <w:sz w:val="32"/>
          <w:szCs w:val="32"/>
        </w:rPr>
        <w:t>四是</w:t>
      </w:r>
      <w:r>
        <w:rPr>
          <w:rFonts w:ascii="仿宋_GB2312" w:eastAsia="仿宋_GB2312" w:hint="eastAsia"/>
          <w:sz w:val="32"/>
          <w:szCs w:val="32"/>
        </w:rPr>
        <w:t>配合</w:t>
      </w:r>
      <w:r>
        <w:rPr>
          <w:rFonts w:ascii="仿宋_GB2312" w:eastAsia="仿宋_GB2312" w:hAnsi="宋体" w:hint="eastAsia"/>
          <w:sz w:val="32"/>
          <w:szCs w:val="32"/>
        </w:rPr>
        <w:t>慈溪法院探索建立破产企业信用修复机制，助力企业恢复融资功能</w:t>
      </w:r>
      <w:r>
        <w:rPr>
          <w:rFonts w:ascii="仿宋_GB2312" w:eastAsia="仿宋_GB2312" w:hint="eastAsia"/>
          <w:sz w:val="32"/>
          <w:szCs w:val="32"/>
        </w:rPr>
        <w:t>。</w:t>
      </w:r>
      <w:r>
        <w:rPr>
          <w:rFonts w:ascii="仿宋_GB2312" w:eastAsia="仿宋_GB2312" w:hint="eastAsia"/>
          <w:b/>
          <w:bCs/>
          <w:sz w:val="32"/>
          <w:szCs w:val="32"/>
        </w:rPr>
        <w:t>五是</w:t>
      </w:r>
      <w:r>
        <w:rPr>
          <w:rFonts w:ascii="仿宋_GB2312" w:eastAsia="仿宋_GB2312" w:hAnsi="宋体" w:hint="eastAsia"/>
          <w:sz w:val="32"/>
          <w:szCs w:val="32"/>
        </w:rPr>
        <w:t>强化政金企联动，提升问题企业纾困效率，最大程度防止“次生风险”及区域性传导冲击。</w:t>
      </w:r>
    </w:p>
    <w:p w:rsidR="00CA1968" w:rsidRDefault="0083725E" w:rsidP="0083725E">
      <w:pPr>
        <w:spacing w:line="560" w:lineRule="exact"/>
        <w:ind w:firstLineChars="200" w:firstLine="620"/>
        <w:rPr>
          <w:rFonts w:eastAsia="仿宋_GB2312"/>
          <w:color w:val="000000" w:themeColor="text1"/>
          <w:sz w:val="32"/>
          <w:szCs w:val="32"/>
        </w:rPr>
      </w:pPr>
      <w:r>
        <w:rPr>
          <w:rFonts w:ascii="仿宋_GB2312" w:eastAsia="仿宋_GB2312" w:hAnsi="宋体" w:hint="eastAsia"/>
          <w:sz w:val="32"/>
          <w:szCs w:val="32"/>
        </w:rPr>
        <w:t>最后，再次感谢您对我市企业风险防控和优化营商环境工作的持续关注与支持。我们将认真吸纳您提出的宝贵意见，不断完善工作机制，努力为建设一流营商环境作出更大贡献。</w:t>
      </w:r>
    </w:p>
    <w:p w:rsidR="00CA1968" w:rsidRDefault="00CA1968" w:rsidP="0083725E">
      <w:pPr>
        <w:spacing w:line="560" w:lineRule="exact"/>
        <w:ind w:firstLineChars="200" w:firstLine="620"/>
        <w:rPr>
          <w:rFonts w:eastAsia="仿宋_GB2312"/>
          <w:color w:val="000000" w:themeColor="text1"/>
          <w:sz w:val="32"/>
          <w:szCs w:val="32"/>
        </w:rPr>
      </w:pPr>
    </w:p>
    <w:p w:rsidR="00CA1968" w:rsidRDefault="003D5244" w:rsidP="0083725E">
      <w:pPr>
        <w:spacing w:line="560" w:lineRule="exact"/>
        <w:ind w:right="1100" w:firstLineChars="1250" w:firstLine="3875"/>
        <w:jc w:val="right"/>
        <w:rPr>
          <w:rFonts w:eastAsia="仿宋_GB2312"/>
          <w:color w:val="000000" w:themeColor="text1"/>
          <w:sz w:val="32"/>
          <w:szCs w:val="32"/>
        </w:rPr>
      </w:pPr>
      <w:r>
        <w:rPr>
          <w:rFonts w:eastAsia="仿宋_GB2312" w:hint="eastAsia"/>
          <w:color w:val="000000" w:themeColor="text1"/>
          <w:sz w:val="32"/>
          <w:szCs w:val="32"/>
        </w:rPr>
        <w:t>慈溪市金融发展服务中心</w:t>
      </w:r>
    </w:p>
    <w:p w:rsidR="00CA1968" w:rsidRDefault="003D5244" w:rsidP="0083725E">
      <w:pPr>
        <w:spacing w:line="560" w:lineRule="exact"/>
        <w:ind w:right="640" w:firstLineChars="200" w:firstLine="62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w:t>
      </w:r>
      <w:r w:rsidR="0083725E">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年6月</w:t>
      </w:r>
      <w:r w:rsidR="0056023A">
        <w:rPr>
          <w:rFonts w:ascii="仿宋_GB2312" w:eastAsia="仿宋_GB2312" w:hint="eastAsia"/>
          <w:color w:val="000000" w:themeColor="text1"/>
          <w:sz w:val="32"/>
          <w:szCs w:val="32"/>
        </w:rPr>
        <w:t>３0</w:t>
      </w:r>
      <w:r>
        <w:rPr>
          <w:rFonts w:ascii="仿宋_GB2312" w:eastAsia="仿宋_GB2312" w:hint="eastAsia"/>
          <w:color w:val="000000" w:themeColor="text1"/>
          <w:sz w:val="32"/>
          <w:szCs w:val="32"/>
        </w:rPr>
        <w:t>日</w:t>
      </w:r>
    </w:p>
    <w:p w:rsidR="00CA1968" w:rsidRDefault="00CA1968" w:rsidP="0083725E">
      <w:pPr>
        <w:spacing w:line="560" w:lineRule="exact"/>
        <w:ind w:left="1550" w:hangingChars="500" w:hanging="1550"/>
        <w:rPr>
          <w:rFonts w:ascii="仿宋_GB2312" w:eastAsia="仿宋_GB2312"/>
          <w:color w:val="000000" w:themeColor="text1"/>
          <w:sz w:val="32"/>
          <w:szCs w:val="32"/>
        </w:rPr>
      </w:pPr>
    </w:p>
    <w:p w:rsidR="00CA1968" w:rsidRDefault="00CA1968" w:rsidP="0083725E">
      <w:pPr>
        <w:spacing w:line="560" w:lineRule="exact"/>
        <w:ind w:left="1550" w:hangingChars="500" w:hanging="1550"/>
        <w:rPr>
          <w:rFonts w:ascii="仿宋_GB2312" w:eastAsia="仿宋_GB2312"/>
          <w:color w:val="000000" w:themeColor="text1"/>
          <w:sz w:val="32"/>
          <w:szCs w:val="32"/>
        </w:rPr>
      </w:pPr>
    </w:p>
    <w:p w:rsidR="0083725E" w:rsidRDefault="003D5244" w:rsidP="0083725E">
      <w:pPr>
        <w:spacing w:line="560" w:lineRule="exact"/>
        <w:ind w:left="1550" w:hangingChars="500" w:hanging="1550"/>
        <w:jc w:val="left"/>
        <w:rPr>
          <w:rFonts w:ascii="仿宋_GB2312" w:eastAsia="仿宋_GB2312"/>
          <w:sz w:val="32"/>
          <w:szCs w:val="32"/>
        </w:rPr>
      </w:pPr>
      <w:r>
        <w:rPr>
          <w:rFonts w:ascii="仿宋_GB2312" w:eastAsia="仿宋_GB2312" w:hAnsi="仿宋_GB2312" w:cs="仿宋_GB2312" w:hint="eastAsia"/>
          <w:color w:val="000000"/>
          <w:sz w:val="32"/>
          <w:szCs w:val="32"/>
        </w:rPr>
        <w:t>抄    送：</w:t>
      </w:r>
      <w:r w:rsidR="0083725E">
        <w:rPr>
          <w:rFonts w:ascii="仿宋_GB2312" w:eastAsia="仿宋_GB2312" w:hAnsi="仿宋_GB2312" w:cs="仿宋_GB2312" w:hint="eastAsia"/>
          <w:color w:val="000000"/>
          <w:sz w:val="32"/>
          <w:szCs w:val="32"/>
        </w:rPr>
        <w:t>市人大代表工委、市政府办公室、</w:t>
      </w:r>
      <w:r w:rsidR="0083725E">
        <w:rPr>
          <w:rFonts w:ascii="仿宋_GB2312" w:eastAsia="仿宋_GB2312" w:hAnsi="宋体" w:hint="eastAsia"/>
          <w:sz w:val="32"/>
          <w:szCs w:val="32"/>
        </w:rPr>
        <w:t>市</w:t>
      </w:r>
      <w:r w:rsidR="0083725E">
        <w:rPr>
          <w:rFonts w:ascii="仿宋_GB2312" w:eastAsia="仿宋_GB2312" w:hint="eastAsia"/>
          <w:sz w:val="32"/>
          <w:szCs w:val="32"/>
        </w:rPr>
        <w:t>人民</w:t>
      </w:r>
      <w:r w:rsidR="0083725E">
        <w:rPr>
          <w:rFonts w:ascii="仿宋_GB2312" w:eastAsia="仿宋_GB2312" w:hAnsi="宋体" w:hint="eastAsia"/>
          <w:sz w:val="32"/>
          <w:szCs w:val="32"/>
        </w:rPr>
        <w:t>法院、</w:t>
      </w:r>
      <w:r w:rsidR="0083725E">
        <w:rPr>
          <w:rFonts w:ascii="仿宋_GB2312" w:eastAsia="仿宋_GB2312" w:hint="eastAsia"/>
          <w:sz w:val="32"/>
          <w:szCs w:val="32"/>
        </w:rPr>
        <w:t>市</w:t>
      </w:r>
      <w:r w:rsidR="0083725E">
        <w:rPr>
          <w:rFonts w:ascii="仿宋_GB2312" w:eastAsia="仿宋_GB2312" w:hAnsi="宋体" w:hint="eastAsia"/>
          <w:sz w:val="32"/>
          <w:szCs w:val="32"/>
        </w:rPr>
        <w:t>经信</w:t>
      </w:r>
      <w:r w:rsidR="0083725E">
        <w:rPr>
          <w:rFonts w:ascii="仿宋_GB2312" w:eastAsia="仿宋_GB2312" w:hint="eastAsia"/>
          <w:sz w:val="32"/>
          <w:szCs w:val="32"/>
        </w:rPr>
        <w:t>局</w:t>
      </w:r>
      <w:r w:rsidR="0083725E">
        <w:rPr>
          <w:rFonts w:ascii="仿宋_GB2312" w:eastAsia="仿宋_GB2312" w:hAnsi="宋体" w:hint="eastAsia"/>
          <w:sz w:val="32"/>
          <w:szCs w:val="32"/>
        </w:rPr>
        <w:t>、</w:t>
      </w:r>
      <w:r w:rsidR="0083725E">
        <w:rPr>
          <w:rFonts w:ascii="仿宋_GB2312" w:eastAsia="仿宋_GB2312" w:hint="eastAsia"/>
          <w:sz w:val="32"/>
          <w:szCs w:val="32"/>
        </w:rPr>
        <w:t>市</w:t>
      </w:r>
      <w:r w:rsidR="0083725E">
        <w:rPr>
          <w:rFonts w:ascii="仿宋_GB2312" w:eastAsia="仿宋_GB2312" w:hAnsi="宋体" w:hint="eastAsia"/>
          <w:sz w:val="32"/>
          <w:szCs w:val="32"/>
        </w:rPr>
        <w:t>税务</w:t>
      </w:r>
      <w:r w:rsidR="0083725E">
        <w:rPr>
          <w:rFonts w:ascii="仿宋_GB2312" w:eastAsia="仿宋_GB2312" w:hint="eastAsia"/>
          <w:sz w:val="32"/>
          <w:szCs w:val="32"/>
        </w:rPr>
        <w:t>局</w:t>
      </w:r>
      <w:r w:rsidR="0083725E">
        <w:rPr>
          <w:rFonts w:ascii="仿宋_GB2312" w:eastAsia="仿宋_GB2312" w:hAnsi="宋体" w:hint="eastAsia"/>
          <w:sz w:val="32"/>
          <w:szCs w:val="32"/>
        </w:rPr>
        <w:t>、</w:t>
      </w:r>
      <w:r w:rsidR="0083725E">
        <w:rPr>
          <w:rFonts w:ascii="仿宋_GB2312" w:eastAsia="仿宋_GB2312" w:hint="eastAsia"/>
          <w:sz w:val="32"/>
          <w:szCs w:val="32"/>
        </w:rPr>
        <w:t>市</w:t>
      </w:r>
      <w:r w:rsidR="0083725E">
        <w:rPr>
          <w:rFonts w:ascii="仿宋_GB2312" w:eastAsia="仿宋_GB2312" w:hAnsi="宋体" w:hint="eastAsia"/>
          <w:sz w:val="32"/>
          <w:szCs w:val="32"/>
        </w:rPr>
        <w:t>审计</w:t>
      </w:r>
      <w:r w:rsidR="0083725E">
        <w:rPr>
          <w:rFonts w:ascii="仿宋_GB2312" w:eastAsia="仿宋_GB2312" w:hint="eastAsia"/>
          <w:sz w:val="32"/>
          <w:szCs w:val="32"/>
        </w:rPr>
        <w:t>局</w:t>
      </w:r>
      <w:r w:rsidR="0083725E">
        <w:rPr>
          <w:rFonts w:ascii="仿宋_GB2312" w:eastAsia="仿宋_GB2312" w:hAnsi="宋体" w:hint="eastAsia"/>
          <w:sz w:val="32"/>
          <w:szCs w:val="32"/>
        </w:rPr>
        <w:t>、</w:t>
      </w:r>
      <w:r w:rsidR="0083725E">
        <w:rPr>
          <w:rFonts w:ascii="仿宋_GB2312" w:eastAsia="仿宋_GB2312" w:hint="eastAsia"/>
          <w:sz w:val="32"/>
          <w:szCs w:val="32"/>
        </w:rPr>
        <w:t>慈溪</w:t>
      </w:r>
      <w:r w:rsidR="0083725E">
        <w:rPr>
          <w:rFonts w:ascii="仿宋_GB2312" w:eastAsia="仿宋_GB2312" w:hAnsi="宋体" w:hint="eastAsia"/>
          <w:sz w:val="32"/>
          <w:szCs w:val="32"/>
        </w:rPr>
        <w:t>金融监管</w:t>
      </w:r>
      <w:r w:rsidR="0083725E">
        <w:rPr>
          <w:rFonts w:ascii="仿宋_GB2312" w:eastAsia="仿宋_GB2312" w:hint="eastAsia"/>
          <w:sz w:val="32"/>
          <w:szCs w:val="32"/>
        </w:rPr>
        <w:t>支局</w:t>
      </w:r>
    </w:p>
    <w:p w:rsidR="00CA1968" w:rsidRDefault="003D5244" w:rsidP="0083725E">
      <w:pPr>
        <w:spacing w:line="560" w:lineRule="exact"/>
        <w:ind w:left="1550" w:hangingChars="500" w:hanging="155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 系 人：</w:t>
      </w:r>
      <w:r w:rsidR="0083725E">
        <w:rPr>
          <w:rFonts w:ascii="仿宋_GB2312" w:eastAsia="仿宋_GB2312" w:hAnsi="仿宋_GB2312" w:cs="仿宋_GB2312" w:hint="eastAsia"/>
          <w:color w:val="000000"/>
          <w:sz w:val="32"/>
          <w:szCs w:val="32"/>
        </w:rPr>
        <w:t>劳蒙迪</w:t>
      </w:r>
    </w:p>
    <w:p w:rsidR="00CA1968" w:rsidRDefault="003D5244" w:rsidP="0083725E">
      <w:pPr>
        <w:spacing w:line="560" w:lineRule="exact"/>
        <w:jc w:val="left"/>
      </w:pPr>
      <w:r>
        <w:rPr>
          <w:rFonts w:ascii="仿宋_GB2312" w:eastAsia="仿宋_GB2312" w:hAnsi="仿宋_GB2312" w:cs="仿宋_GB2312" w:hint="eastAsia"/>
          <w:color w:val="000000"/>
          <w:sz w:val="32"/>
          <w:szCs w:val="32"/>
        </w:rPr>
        <w:t>联系电话：</w:t>
      </w:r>
      <w:r w:rsidR="0083725E">
        <w:rPr>
          <w:rFonts w:ascii="仿宋_GB2312" w:eastAsia="仿宋_GB2312" w:hAnsi="仿宋_GB2312" w:cs="仿宋_GB2312" w:hint="eastAsia"/>
          <w:color w:val="000000"/>
          <w:sz w:val="32"/>
          <w:szCs w:val="32"/>
        </w:rPr>
        <w:t>63837369</w:t>
      </w:r>
    </w:p>
    <w:p w:rsidR="00CA1968" w:rsidRDefault="00CA1968" w:rsidP="0083725E">
      <w:pPr>
        <w:spacing w:line="560" w:lineRule="exact"/>
        <w:ind w:firstLineChars="200" w:firstLine="620"/>
        <w:rPr>
          <w:rFonts w:ascii="仿宋_GB2312" w:eastAsia="仿宋_GB2312" w:hAnsi="仿宋_GB2312" w:cs="仿宋_GB2312"/>
          <w:color w:val="000000" w:themeColor="text1"/>
          <w:sz w:val="32"/>
          <w:szCs w:val="32"/>
        </w:rPr>
      </w:pPr>
    </w:p>
    <w:p w:rsidR="00CA1968" w:rsidRDefault="00CA1968">
      <w:pPr>
        <w:snapToGrid w:val="0"/>
        <w:spacing w:line="560" w:lineRule="exact"/>
        <w:rPr>
          <w:rFonts w:ascii="仿宋_GB2312" w:eastAsia="仿宋_GB2312"/>
          <w:sz w:val="32"/>
          <w:szCs w:val="32"/>
        </w:rPr>
      </w:pPr>
    </w:p>
    <w:sectPr w:rsidR="00CA1968" w:rsidSect="0083725E">
      <w:footerReference w:type="even" r:id="rId6"/>
      <w:footerReference w:type="default" r:id="rId7"/>
      <w:pgSz w:w="11906" w:h="16838" w:code="9"/>
      <w:pgMar w:top="2098" w:right="1474" w:bottom="1985" w:left="1588" w:header="1021" w:footer="1588" w:gutter="0"/>
      <w:pgNumType w:fmt="numberInDash"/>
      <w:cols w:space="425"/>
      <w:docGrid w:type="linesAndChars" w:linePitch="5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CD" w:rsidRDefault="00586ACD" w:rsidP="00CA1968">
      <w:r>
        <w:separator/>
      </w:r>
    </w:p>
  </w:endnote>
  <w:endnote w:type="continuationSeparator" w:id="1">
    <w:p w:rsidR="00586ACD" w:rsidRDefault="00586ACD" w:rsidP="00CA196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122500"/>
    </w:sdtPr>
    <w:sdtEndPr>
      <w:rPr>
        <w:rFonts w:ascii="宋体" w:hAnsi="宋体"/>
        <w:sz w:val="28"/>
        <w:szCs w:val="28"/>
      </w:rPr>
    </w:sdtEndPr>
    <w:sdtContent>
      <w:p w:rsidR="00CA1968" w:rsidRDefault="00E7061A">
        <w:pPr>
          <w:pStyle w:val="a7"/>
        </w:pPr>
        <w:r>
          <w:rPr>
            <w:rFonts w:ascii="宋体" w:hAnsi="宋体"/>
            <w:sz w:val="28"/>
            <w:szCs w:val="28"/>
          </w:rPr>
          <w:fldChar w:fldCharType="begin"/>
        </w:r>
        <w:r w:rsidR="003D5244">
          <w:rPr>
            <w:rFonts w:ascii="宋体" w:hAnsi="宋体"/>
            <w:sz w:val="28"/>
            <w:szCs w:val="28"/>
          </w:rPr>
          <w:instrText xml:space="preserve"> PAGE   \* MERGEFORMAT </w:instrText>
        </w:r>
        <w:r>
          <w:rPr>
            <w:rFonts w:ascii="宋体" w:hAnsi="宋体"/>
            <w:sz w:val="28"/>
            <w:szCs w:val="28"/>
          </w:rPr>
          <w:fldChar w:fldCharType="separate"/>
        </w:r>
        <w:r w:rsidR="0056023A" w:rsidRPr="0056023A">
          <w:rPr>
            <w:rFonts w:ascii="宋体" w:hAnsi="宋体"/>
            <w:noProof/>
            <w:sz w:val="28"/>
            <w:szCs w:val="28"/>
            <w:lang w:val="zh-CN"/>
          </w:rPr>
          <w:t>-</w:t>
        </w:r>
        <w:r w:rsidR="0056023A">
          <w:rPr>
            <w:rFonts w:ascii="宋体" w:hAnsi="宋体"/>
            <w:noProof/>
            <w:sz w:val="28"/>
            <w:szCs w:val="28"/>
          </w:rPr>
          <w:t xml:space="preserve"> 4 -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122496"/>
    </w:sdtPr>
    <w:sdtEndPr>
      <w:rPr>
        <w:rFonts w:ascii="宋体" w:hAnsi="宋体"/>
        <w:sz w:val="28"/>
        <w:szCs w:val="28"/>
      </w:rPr>
    </w:sdtEndPr>
    <w:sdtContent>
      <w:p w:rsidR="00CA1968" w:rsidRDefault="00E7061A">
        <w:pPr>
          <w:pStyle w:val="a7"/>
          <w:jc w:val="right"/>
          <w:rPr>
            <w:rFonts w:ascii="宋体" w:hAnsi="宋体"/>
            <w:sz w:val="28"/>
            <w:szCs w:val="28"/>
          </w:rPr>
        </w:pPr>
        <w:r>
          <w:rPr>
            <w:rFonts w:ascii="宋体" w:hAnsi="宋体"/>
            <w:sz w:val="28"/>
            <w:szCs w:val="28"/>
          </w:rPr>
          <w:fldChar w:fldCharType="begin"/>
        </w:r>
        <w:r w:rsidR="003D5244">
          <w:rPr>
            <w:rFonts w:ascii="宋体" w:hAnsi="宋体"/>
            <w:sz w:val="28"/>
            <w:szCs w:val="28"/>
          </w:rPr>
          <w:instrText xml:space="preserve"> PAGE   \* MERGEFORMAT </w:instrText>
        </w:r>
        <w:r>
          <w:rPr>
            <w:rFonts w:ascii="宋体" w:hAnsi="宋体"/>
            <w:sz w:val="28"/>
            <w:szCs w:val="28"/>
          </w:rPr>
          <w:fldChar w:fldCharType="separate"/>
        </w:r>
        <w:r w:rsidR="0056023A" w:rsidRPr="0056023A">
          <w:rPr>
            <w:rFonts w:ascii="宋体" w:hAnsi="宋体"/>
            <w:noProof/>
            <w:sz w:val="28"/>
            <w:szCs w:val="28"/>
            <w:lang w:val="zh-CN"/>
          </w:rPr>
          <w:t>-</w:t>
        </w:r>
        <w:r w:rsidR="0056023A">
          <w:rPr>
            <w:rFonts w:ascii="宋体" w:hAnsi="宋体"/>
            <w:noProof/>
            <w:sz w:val="28"/>
            <w:szCs w:val="28"/>
          </w:rPr>
          <w:t xml:space="preserve"> 5 -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CD" w:rsidRDefault="00586ACD" w:rsidP="00CA1968">
      <w:r>
        <w:separator/>
      </w:r>
    </w:p>
  </w:footnote>
  <w:footnote w:type="continuationSeparator" w:id="1">
    <w:p w:rsidR="00586ACD" w:rsidRDefault="00586ACD" w:rsidP="00CA1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0"/>
  <w:drawingGridVerticalSpacing w:val="2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1ZGVlY2E0OWU5MzgzMTg0YmJiMDViZTNlN2UwOTQifQ=="/>
  </w:docVars>
  <w:rsids>
    <w:rsidRoot w:val="00CA39F2"/>
    <w:rsid w:val="E5F2E6D4"/>
    <w:rsid w:val="00037703"/>
    <w:rsid w:val="00050F09"/>
    <w:rsid w:val="00064326"/>
    <w:rsid w:val="000D249E"/>
    <w:rsid w:val="000E4C59"/>
    <w:rsid w:val="000E7C1B"/>
    <w:rsid w:val="001000E8"/>
    <w:rsid w:val="00137167"/>
    <w:rsid w:val="0014465F"/>
    <w:rsid w:val="001C08F3"/>
    <w:rsid w:val="001F3D30"/>
    <w:rsid w:val="00230238"/>
    <w:rsid w:val="002508BA"/>
    <w:rsid w:val="00254441"/>
    <w:rsid w:val="002B03CD"/>
    <w:rsid w:val="00334620"/>
    <w:rsid w:val="003A608F"/>
    <w:rsid w:val="003C505F"/>
    <w:rsid w:val="003D3EE8"/>
    <w:rsid w:val="003D5244"/>
    <w:rsid w:val="00425DC3"/>
    <w:rsid w:val="0050205E"/>
    <w:rsid w:val="005137C6"/>
    <w:rsid w:val="0056023A"/>
    <w:rsid w:val="00573A9E"/>
    <w:rsid w:val="005832D4"/>
    <w:rsid w:val="00586ACD"/>
    <w:rsid w:val="005A0E10"/>
    <w:rsid w:val="005A5C94"/>
    <w:rsid w:val="005B26B4"/>
    <w:rsid w:val="005F4BCA"/>
    <w:rsid w:val="00602328"/>
    <w:rsid w:val="00603A10"/>
    <w:rsid w:val="00680F9E"/>
    <w:rsid w:val="006B4519"/>
    <w:rsid w:val="006E6B68"/>
    <w:rsid w:val="00704415"/>
    <w:rsid w:val="0083725E"/>
    <w:rsid w:val="00837634"/>
    <w:rsid w:val="00887ED7"/>
    <w:rsid w:val="008A4573"/>
    <w:rsid w:val="008B1282"/>
    <w:rsid w:val="008C2577"/>
    <w:rsid w:val="00901824"/>
    <w:rsid w:val="00915236"/>
    <w:rsid w:val="00995C3A"/>
    <w:rsid w:val="009A3CC3"/>
    <w:rsid w:val="009A5D86"/>
    <w:rsid w:val="009D2CEB"/>
    <w:rsid w:val="009D4524"/>
    <w:rsid w:val="00A67FDD"/>
    <w:rsid w:val="00A70F19"/>
    <w:rsid w:val="00A7513D"/>
    <w:rsid w:val="00B45894"/>
    <w:rsid w:val="00B77835"/>
    <w:rsid w:val="00BD0A27"/>
    <w:rsid w:val="00BE5384"/>
    <w:rsid w:val="00BF7BE0"/>
    <w:rsid w:val="00C30E0F"/>
    <w:rsid w:val="00C667FA"/>
    <w:rsid w:val="00CA1968"/>
    <w:rsid w:val="00CA39F2"/>
    <w:rsid w:val="00CE222D"/>
    <w:rsid w:val="00CE666D"/>
    <w:rsid w:val="00D132F3"/>
    <w:rsid w:val="00D33B6B"/>
    <w:rsid w:val="00DB6300"/>
    <w:rsid w:val="00E10DEC"/>
    <w:rsid w:val="00E7061A"/>
    <w:rsid w:val="00EA4CBE"/>
    <w:rsid w:val="00EF3B0B"/>
    <w:rsid w:val="00EF7CDD"/>
    <w:rsid w:val="00F1191C"/>
    <w:rsid w:val="00F16899"/>
    <w:rsid w:val="00F94B5B"/>
    <w:rsid w:val="2AC25CED"/>
    <w:rsid w:val="37BE5685"/>
    <w:rsid w:val="41C41A9E"/>
    <w:rsid w:val="5DA514EC"/>
    <w:rsid w:val="68EFD887"/>
    <w:rsid w:val="6B4524CD"/>
    <w:rsid w:val="77E403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text"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CA1968"/>
    <w:pPr>
      <w:spacing w:after="120"/>
    </w:pPr>
  </w:style>
  <w:style w:type="paragraph" w:styleId="a4">
    <w:name w:val="Body Text Indent"/>
    <w:basedOn w:val="a"/>
    <w:link w:val="Char0"/>
    <w:uiPriority w:val="99"/>
    <w:semiHidden/>
    <w:unhideWhenUsed/>
    <w:qFormat/>
    <w:rsid w:val="00CA1968"/>
    <w:pPr>
      <w:spacing w:after="120"/>
      <w:ind w:leftChars="200" w:left="420"/>
    </w:pPr>
  </w:style>
  <w:style w:type="paragraph" w:styleId="a5">
    <w:name w:val="endnote text"/>
    <w:basedOn w:val="a"/>
    <w:link w:val="Char1"/>
    <w:uiPriority w:val="99"/>
    <w:semiHidden/>
    <w:qFormat/>
    <w:rsid w:val="00CA1968"/>
    <w:pPr>
      <w:snapToGrid w:val="0"/>
      <w:jc w:val="left"/>
    </w:pPr>
    <w:rPr>
      <w:rFonts w:ascii="Calibri" w:hAnsi="Calibri"/>
    </w:rPr>
  </w:style>
  <w:style w:type="paragraph" w:styleId="a6">
    <w:name w:val="Balloon Text"/>
    <w:basedOn w:val="a"/>
    <w:link w:val="Char2"/>
    <w:uiPriority w:val="99"/>
    <w:semiHidden/>
    <w:unhideWhenUsed/>
    <w:qFormat/>
    <w:rsid w:val="00CA1968"/>
    <w:rPr>
      <w:sz w:val="18"/>
      <w:szCs w:val="18"/>
    </w:rPr>
  </w:style>
  <w:style w:type="paragraph" w:styleId="a7">
    <w:name w:val="footer"/>
    <w:basedOn w:val="a"/>
    <w:link w:val="Char3"/>
    <w:uiPriority w:val="99"/>
    <w:unhideWhenUsed/>
    <w:qFormat/>
    <w:rsid w:val="00CA1968"/>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A1968"/>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next w:val="2"/>
    <w:link w:val="Char5"/>
    <w:uiPriority w:val="99"/>
    <w:unhideWhenUsed/>
    <w:qFormat/>
    <w:rsid w:val="00CA1968"/>
    <w:pPr>
      <w:spacing w:before="236" w:after="0"/>
      <w:ind w:left="120" w:firstLineChars="100" w:firstLine="420"/>
    </w:pPr>
    <w:rPr>
      <w:rFonts w:ascii="仿宋_GB2312" w:eastAsia="仿宋_GB2312" w:hAnsi="Calibri" w:hint="eastAsia"/>
      <w:kern w:val="0"/>
      <w:sz w:val="32"/>
      <w:szCs w:val="32"/>
    </w:rPr>
  </w:style>
  <w:style w:type="paragraph" w:styleId="2">
    <w:name w:val="Body Text First Indent 2"/>
    <w:basedOn w:val="a4"/>
    <w:link w:val="2Char"/>
    <w:uiPriority w:val="99"/>
    <w:semiHidden/>
    <w:unhideWhenUsed/>
    <w:qFormat/>
    <w:rsid w:val="00CA1968"/>
    <w:pPr>
      <w:ind w:firstLineChars="200" w:firstLine="420"/>
    </w:pPr>
  </w:style>
  <w:style w:type="character" w:customStyle="1" w:styleId="Char4">
    <w:name w:val="页眉 Char"/>
    <w:basedOn w:val="a0"/>
    <w:link w:val="a8"/>
    <w:uiPriority w:val="99"/>
    <w:qFormat/>
    <w:rsid w:val="00CA1968"/>
    <w:rPr>
      <w:sz w:val="18"/>
      <w:szCs w:val="18"/>
    </w:rPr>
  </w:style>
  <w:style w:type="character" w:customStyle="1" w:styleId="Char3">
    <w:name w:val="页脚 Char"/>
    <w:basedOn w:val="a0"/>
    <w:link w:val="a7"/>
    <w:uiPriority w:val="99"/>
    <w:qFormat/>
    <w:rsid w:val="00CA1968"/>
    <w:rPr>
      <w:sz w:val="18"/>
      <w:szCs w:val="18"/>
    </w:rPr>
  </w:style>
  <w:style w:type="paragraph" w:customStyle="1" w:styleId="CharCharChar">
    <w:name w:val="Char Char Char"/>
    <w:basedOn w:val="a"/>
    <w:qFormat/>
    <w:rsid w:val="00CA1968"/>
  </w:style>
  <w:style w:type="character" w:customStyle="1" w:styleId="Char2">
    <w:name w:val="批注框文本 Char"/>
    <w:basedOn w:val="a0"/>
    <w:link w:val="a6"/>
    <w:uiPriority w:val="99"/>
    <w:semiHidden/>
    <w:qFormat/>
    <w:rsid w:val="00CA1968"/>
    <w:rPr>
      <w:rFonts w:ascii="Times New Roman" w:eastAsia="宋体" w:hAnsi="Times New Roman" w:cs="Times New Roman"/>
      <w:sz w:val="18"/>
      <w:szCs w:val="18"/>
    </w:rPr>
  </w:style>
  <w:style w:type="paragraph" w:customStyle="1" w:styleId="Bodytext1">
    <w:name w:val="Body text|1"/>
    <w:basedOn w:val="a"/>
    <w:qFormat/>
    <w:rsid w:val="00CA1968"/>
    <w:pPr>
      <w:spacing w:line="441" w:lineRule="auto"/>
      <w:ind w:firstLine="400"/>
      <w:jc w:val="left"/>
    </w:pPr>
    <w:rPr>
      <w:rFonts w:ascii="宋体" w:hAnsi="宋体" w:cs="宋体"/>
      <w:sz w:val="30"/>
      <w:szCs w:val="30"/>
    </w:rPr>
  </w:style>
  <w:style w:type="paragraph" w:customStyle="1" w:styleId="Default">
    <w:name w:val="Default"/>
    <w:qFormat/>
    <w:rsid w:val="00CA1968"/>
    <w:pPr>
      <w:widowControl w:val="0"/>
      <w:autoSpaceDE w:val="0"/>
      <w:autoSpaceDN w:val="0"/>
      <w:adjustRightInd w:val="0"/>
    </w:pPr>
    <w:rPr>
      <w:rFonts w:ascii="仿宋" w:eastAsia="宋体" w:hAnsi="仿宋" w:cs="仿宋"/>
      <w:color w:val="000000"/>
      <w:sz w:val="24"/>
      <w:szCs w:val="24"/>
    </w:rPr>
  </w:style>
  <w:style w:type="character" w:customStyle="1" w:styleId="Char1">
    <w:name w:val="尾注文本 Char"/>
    <w:basedOn w:val="a0"/>
    <w:link w:val="a5"/>
    <w:uiPriority w:val="99"/>
    <w:semiHidden/>
    <w:qFormat/>
    <w:rsid w:val="00CA1968"/>
    <w:rPr>
      <w:rFonts w:ascii="Calibri" w:eastAsia="宋体" w:hAnsi="Calibri" w:cs="Times New Roman"/>
      <w:kern w:val="2"/>
      <w:sz w:val="21"/>
      <w:szCs w:val="24"/>
    </w:rPr>
  </w:style>
  <w:style w:type="character" w:customStyle="1" w:styleId="Char">
    <w:name w:val="正文文本 Char"/>
    <w:basedOn w:val="a0"/>
    <w:link w:val="a3"/>
    <w:uiPriority w:val="99"/>
    <w:semiHidden/>
    <w:qFormat/>
    <w:rsid w:val="00CA1968"/>
    <w:rPr>
      <w:rFonts w:ascii="Times New Roman" w:eastAsia="宋体" w:hAnsi="Times New Roman" w:cs="Times New Roman"/>
      <w:kern w:val="2"/>
      <w:sz w:val="21"/>
      <w:szCs w:val="24"/>
    </w:rPr>
  </w:style>
  <w:style w:type="character" w:customStyle="1" w:styleId="Char5">
    <w:name w:val="正文首行缩进 Char"/>
    <w:basedOn w:val="Char"/>
    <w:link w:val="a9"/>
    <w:uiPriority w:val="99"/>
    <w:qFormat/>
    <w:rsid w:val="00CA1968"/>
    <w:rPr>
      <w:rFonts w:ascii="仿宋_GB2312" w:eastAsia="仿宋_GB2312" w:hAnsi="Calibri"/>
      <w:sz w:val="32"/>
      <w:szCs w:val="32"/>
    </w:rPr>
  </w:style>
  <w:style w:type="character" w:customStyle="1" w:styleId="Char0">
    <w:name w:val="正文文本缩进 Char"/>
    <w:basedOn w:val="a0"/>
    <w:link w:val="a4"/>
    <w:uiPriority w:val="99"/>
    <w:semiHidden/>
    <w:qFormat/>
    <w:rsid w:val="00CA1968"/>
    <w:rPr>
      <w:rFonts w:ascii="Times New Roman" w:eastAsia="宋体" w:hAnsi="Times New Roman" w:cs="Times New Roman"/>
      <w:kern w:val="2"/>
      <w:sz w:val="21"/>
      <w:szCs w:val="24"/>
    </w:rPr>
  </w:style>
  <w:style w:type="character" w:customStyle="1" w:styleId="2Char">
    <w:name w:val="正文首行缩进 2 Char"/>
    <w:basedOn w:val="Char0"/>
    <w:link w:val="2"/>
    <w:uiPriority w:val="99"/>
    <w:semiHidden/>
    <w:qFormat/>
    <w:rsid w:val="00CA196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Ann</dc:creator>
  <cp:lastModifiedBy>China</cp:lastModifiedBy>
  <cp:revision>38</cp:revision>
  <cp:lastPrinted>2024-06-28T18:32:00Z</cp:lastPrinted>
  <dcterms:created xsi:type="dcterms:W3CDTF">2019-05-05T08:42:00Z</dcterms:created>
  <dcterms:modified xsi:type="dcterms:W3CDTF">2025-06-30T08:28:00Z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E1B8AF79C0634A0EBCDFD2EE7773937D</vt:lpwstr>
  </property>
</Properties>
</file>