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《关于优化工业企业亩均效益综合评价的建议》提案协办回复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在工业企业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亩均效益综合评价中，税务部门主要协助相关职能部门做好配合工作，充分发挥税收职能作用，将继续做好以下工作：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一是税务部门加强税收优惠政策落实监督，通过税收大数据分析，确保税收优惠政策应享尽享，鼓励企业做大做强。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二是进一步深化和完善市委市府主导下的“2+X+17”税收精诚共治格局，根据经信部门提供亩均税收D类企业、低效企业名单，加强与经信、供电等多部门协作，联合属地乡镇，通过税收大数据指标分析，精准识别风险疑点企业，加强税收风险预警防控，帮扶企业提升合规经营水平，优化营商环境，促进经济健康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371A9"/>
    <w:rsid w:val="1BA47500"/>
    <w:rsid w:val="3A7817A1"/>
    <w:rsid w:val="55E31BBD"/>
    <w:rsid w:val="5823508B"/>
    <w:rsid w:val="58C677A2"/>
    <w:rsid w:val="5DC371A9"/>
    <w:rsid w:val="5F0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2025-04-16T08:48:00Z</dcterms:created>
  <dc:creator>开放查询</dc:creator>
  <cp:lastModifiedBy>胡隆铧</cp:lastModifiedBy>
  <dcterms:modified xsi:type="dcterms:W3CDTF">2025-04-18T07:06:36Z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