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F56F9">
      <w:pPr>
        <w:keepNext w:val="0"/>
        <w:keepLines w:val="0"/>
        <w:pageBreakBefore w:val="0"/>
        <w:kinsoku/>
        <w:wordWrap/>
        <w:overflowPunct/>
        <w:topLinePunct w:val="0"/>
        <w:autoSpaceDE/>
        <w:autoSpaceDN/>
        <w:bidi w:val="0"/>
        <w:adjustRightInd/>
        <w:snapToGrid/>
        <w:spacing w:line="560" w:lineRule="exact"/>
        <w:textAlignment w:val="auto"/>
        <w:rPr>
          <w:rFonts w:hint="eastAsia" w:cs="Times New Roman"/>
        </w:rPr>
      </w:pPr>
    </w:p>
    <w:p w14:paraId="723F53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仿宋" w:eastAsia="黑体" w:cs="Times New Roman"/>
          <w:sz w:val="36"/>
          <w:szCs w:val="36"/>
        </w:rPr>
      </w:pPr>
      <w:r>
        <w:rPr>
          <w:rFonts w:hint="eastAsia" w:ascii="黑体" w:eastAsia="黑体" w:cs="Times New Roman"/>
          <w:b/>
          <w:sz w:val="32"/>
          <w:szCs w:val="32"/>
        </w:rPr>
        <w:t>关于市十</w:t>
      </w:r>
      <w:r>
        <w:rPr>
          <w:rFonts w:hint="eastAsia" w:ascii="黑体" w:eastAsia="黑体" w:cs="Times New Roman"/>
          <w:b/>
          <w:sz w:val="32"/>
          <w:szCs w:val="32"/>
          <w:lang w:val="en-US" w:eastAsia="zh-CN"/>
        </w:rPr>
        <w:t>八</w:t>
      </w:r>
      <w:r>
        <w:rPr>
          <w:rFonts w:hint="eastAsia" w:ascii="黑体" w:eastAsia="黑体" w:cs="Times New Roman"/>
          <w:b/>
          <w:sz w:val="32"/>
          <w:szCs w:val="32"/>
        </w:rPr>
        <w:t>届人大</w:t>
      </w:r>
      <w:r>
        <w:rPr>
          <w:rFonts w:hint="eastAsia" w:ascii="黑体" w:eastAsia="黑体" w:cs="Times New Roman"/>
          <w:b/>
          <w:sz w:val="32"/>
          <w:szCs w:val="32"/>
          <w:lang w:val="en-US" w:eastAsia="zh-CN"/>
        </w:rPr>
        <w:t>四次</w:t>
      </w:r>
      <w:r>
        <w:rPr>
          <w:rFonts w:hint="eastAsia" w:ascii="黑体" w:eastAsia="黑体" w:cs="Times New Roman"/>
          <w:b/>
          <w:sz w:val="32"/>
          <w:szCs w:val="32"/>
        </w:rPr>
        <w:t>会议第</w:t>
      </w:r>
      <w:r>
        <w:rPr>
          <w:rFonts w:hint="eastAsia" w:ascii="黑体" w:eastAsia="黑体" w:cs="Times New Roman"/>
          <w:b/>
          <w:sz w:val="32"/>
          <w:szCs w:val="32"/>
          <w:lang w:val="en-US" w:eastAsia="zh-CN"/>
        </w:rPr>
        <w:t>396</w:t>
      </w:r>
      <w:r>
        <w:rPr>
          <w:rFonts w:hint="eastAsia" w:ascii="黑体" w:eastAsia="黑体" w:cs="Times New Roman"/>
          <w:b/>
          <w:sz w:val="32"/>
          <w:szCs w:val="32"/>
        </w:rPr>
        <w:t>号建议协办意见的函</w:t>
      </w:r>
    </w:p>
    <w:p w14:paraId="21644EE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宋体"/>
          <w:color w:val="000000"/>
          <w:kern w:val="0"/>
          <w:sz w:val="30"/>
          <w:szCs w:val="30"/>
        </w:rPr>
      </w:pPr>
    </w:p>
    <w:p w14:paraId="3DE89B3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宁波生态环境局慈溪分局：</w:t>
      </w:r>
    </w:p>
    <w:p w14:paraId="66BD7F71">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市人大十</w:t>
      </w:r>
      <w:r>
        <w:rPr>
          <w:rFonts w:hint="eastAsia" w:ascii="仿宋" w:hAnsi="仿宋" w:eastAsia="仿宋" w:cs="仿宋"/>
          <w:sz w:val="30"/>
          <w:szCs w:val="30"/>
          <w:lang w:val="en-US" w:eastAsia="zh-CN"/>
        </w:rPr>
        <w:t>八</w:t>
      </w:r>
      <w:r>
        <w:rPr>
          <w:rFonts w:hint="eastAsia" w:ascii="仿宋" w:hAnsi="仿宋" w:eastAsia="仿宋" w:cs="仿宋"/>
          <w:sz w:val="30"/>
          <w:szCs w:val="30"/>
        </w:rPr>
        <w:t>届</w:t>
      </w:r>
      <w:r>
        <w:rPr>
          <w:rFonts w:hint="eastAsia" w:ascii="仿宋" w:hAnsi="仿宋" w:eastAsia="仿宋" w:cs="仿宋"/>
          <w:sz w:val="30"/>
          <w:szCs w:val="30"/>
          <w:lang w:val="en-US" w:eastAsia="zh-CN"/>
        </w:rPr>
        <w:t>四次</w:t>
      </w:r>
      <w:r>
        <w:rPr>
          <w:rFonts w:hint="eastAsia" w:ascii="仿宋" w:hAnsi="仿宋" w:eastAsia="仿宋" w:cs="仿宋"/>
          <w:sz w:val="30"/>
          <w:szCs w:val="30"/>
        </w:rPr>
        <w:t>会议第</w:t>
      </w:r>
      <w:r>
        <w:rPr>
          <w:rFonts w:hint="eastAsia" w:ascii="仿宋" w:hAnsi="仿宋" w:eastAsia="仿宋" w:cs="仿宋"/>
          <w:sz w:val="30"/>
          <w:szCs w:val="30"/>
          <w:lang w:val="en-US" w:eastAsia="zh-CN"/>
        </w:rPr>
        <w:t>396</w:t>
      </w:r>
      <w:r>
        <w:rPr>
          <w:rFonts w:hint="eastAsia" w:ascii="仿宋" w:hAnsi="仿宋" w:eastAsia="仿宋" w:cs="仿宋"/>
          <w:sz w:val="30"/>
          <w:szCs w:val="30"/>
        </w:rPr>
        <w:t>号建议《关于秸秆有序焚烧的建议》已收悉，现提出如下协办意见：</w:t>
      </w:r>
    </w:p>
    <w:p w14:paraId="6544BC08">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为深入贯彻落实上级关于秸秆综合利用工作的决策部署和露天禁烧的有关规定，市农业农村局</w:t>
      </w:r>
      <w:r>
        <w:rPr>
          <w:rFonts w:hint="eastAsia" w:ascii="仿宋" w:hAnsi="仿宋" w:eastAsia="仿宋" w:cs="仿宋"/>
          <w:sz w:val="30"/>
          <w:szCs w:val="30"/>
          <w:lang w:eastAsia="zh-CN"/>
        </w:rPr>
        <w:t>近年来积极宣传引导秸秆禁烧，大力</w:t>
      </w:r>
      <w:r>
        <w:rPr>
          <w:rFonts w:hint="eastAsia" w:ascii="仿宋" w:hAnsi="仿宋" w:eastAsia="仿宋" w:cs="仿宋"/>
          <w:sz w:val="30"/>
          <w:szCs w:val="30"/>
        </w:rPr>
        <w:t>指导秸秆科学还田，</w:t>
      </w:r>
      <w:r>
        <w:rPr>
          <w:rFonts w:hint="eastAsia" w:ascii="仿宋" w:hAnsi="仿宋" w:eastAsia="仿宋" w:cs="仿宋"/>
          <w:sz w:val="30"/>
          <w:szCs w:val="30"/>
          <w:lang w:eastAsia="zh-CN"/>
        </w:rPr>
        <w:t>持续</w:t>
      </w:r>
      <w:r>
        <w:rPr>
          <w:rFonts w:hint="eastAsia" w:ascii="仿宋" w:hAnsi="仿宋" w:eastAsia="仿宋" w:cs="仿宋"/>
          <w:sz w:val="30"/>
          <w:szCs w:val="30"/>
        </w:rPr>
        <w:t>探索秸秆综合利用新路径，</w:t>
      </w:r>
      <w:r>
        <w:rPr>
          <w:rFonts w:hint="eastAsia" w:ascii="仿宋" w:hAnsi="仿宋" w:eastAsia="仿宋" w:cs="仿宋"/>
          <w:sz w:val="30"/>
          <w:szCs w:val="30"/>
          <w:lang w:eastAsia="zh-CN"/>
        </w:rPr>
        <w:t>研究制定了一系列秸秆综合利用政策文件，</w:t>
      </w:r>
      <w:r>
        <w:rPr>
          <w:rFonts w:hint="eastAsia" w:ascii="仿宋" w:hAnsi="仿宋" w:eastAsia="仿宋" w:cs="仿宋"/>
          <w:sz w:val="30"/>
          <w:szCs w:val="30"/>
        </w:rPr>
        <w:t>构建</w:t>
      </w:r>
      <w:r>
        <w:rPr>
          <w:rFonts w:hint="eastAsia" w:ascii="仿宋" w:hAnsi="仿宋" w:eastAsia="仿宋" w:cs="仿宋"/>
          <w:sz w:val="30"/>
          <w:szCs w:val="30"/>
          <w:lang w:eastAsia="zh-CN"/>
        </w:rPr>
        <w:t>了</w:t>
      </w:r>
      <w:r>
        <w:rPr>
          <w:rFonts w:hint="eastAsia" w:ascii="仿宋" w:hAnsi="仿宋" w:eastAsia="仿宋" w:cs="仿宋"/>
          <w:sz w:val="30"/>
          <w:szCs w:val="30"/>
        </w:rPr>
        <w:t>秸秆收-储-运-用一体化利用体系，高质量推进</w:t>
      </w:r>
      <w:r>
        <w:rPr>
          <w:rFonts w:hint="eastAsia" w:ascii="仿宋" w:hAnsi="仿宋" w:eastAsia="仿宋" w:cs="仿宋"/>
          <w:sz w:val="30"/>
          <w:szCs w:val="30"/>
          <w:lang w:eastAsia="zh-CN"/>
        </w:rPr>
        <w:t>了</w:t>
      </w:r>
      <w:r>
        <w:rPr>
          <w:rFonts w:hint="eastAsia" w:ascii="仿宋" w:hAnsi="仿宋" w:eastAsia="仿宋" w:cs="仿宋"/>
          <w:sz w:val="30"/>
          <w:szCs w:val="30"/>
        </w:rPr>
        <w:t>我市农作物秸秆综合利用</w:t>
      </w:r>
      <w:r>
        <w:rPr>
          <w:rFonts w:hint="eastAsia" w:ascii="仿宋" w:hAnsi="仿宋" w:eastAsia="仿宋" w:cs="仿宋"/>
          <w:sz w:val="30"/>
          <w:szCs w:val="30"/>
          <w:lang w:eastAsia="zh-CN"/>
        </w:rPr>
        <w:t>水平</w:t>
      </w:r>
      <w:r>
        <w:rPr>
          <w:rFonts w:hint="eastAsia" w:ascii="仿宋" w:hAnsi="仿宋" w:eastAsia="仿宋" w:cs="仿宋"/>
          <w:sz w:val="30"/>
          <w:szCs w:val="30"/>
        </w:rPr>
        <w:t>。</w:t>
      </w:r>
      <w:r>
        <w:rPr>
          <w:rFonts w:hint="eastAsia" w:ascii="仿宋" w:hAnsi="仿宋" w:eastAsia="仿宋" w:cs="仿宋"/>
          <w:sz w:val="30"/>
          <w:szCs w:val="30"/>
          <w:lang w:eastAsia="zh-CN"/>
        </w:rPr>
        <w:t>具体工作如下：</w:t>
      </w:r>
    </w:p>
    <w:p w14:paraId="7F29C392">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一是加强秸秆还田技术指导。</w:t>
      </w:r>
      <w:r>
        <w:rPr>
          <w:rFonts w:hint="eastAsia" w:ascii="仿宋" w:hAnsi="仿宋" w:eastAsia="仿宋" w:cs="仿宋"/>
          <w:sz w:val="30"/>
          <w:szCs w:val="30"/>
        </w:rPr>
        <w:t>推广水稻低留茬收割、秸秆粉碎旋耕还田、粉碎覆盖还田等科学还田技术，对地力条件差的耕地，可推广秸秆粉碎全量还田培肥技术；加大秸秆科学还田的研究，我市与宁波大学建立协作关系，在慈溪市横河建立水稻农场建立秸秆还田长期监测点1个，加强秸秆还田监测，为指导农户高效科学还田、优化还田模式提供技术支撑；组织农技人员开展种粮大户、农机服务组织、农机作业大户结对指导，督促种植主体、农机手做好低留茬收割；加强日常巡查指导，从源头防范露天焚烧隐患。</w:t>
      </w:r>
    </w:p>
    <w:p w14:paraId="695369A7">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二是积极推进秸秆综合利用。</w:t>
      </w:r>
      <w:r>
        <w:rPr>
          <w:rFonts w:hint="eastAsia" w:ascii="仿宋" w:hAnsi="仿宋" w:eastAsia="仿宋" w:cs="仿宋"/>
          <w:sz w:val="30"/>
          <w:szCs w:val="30"/>
        </w:rPr>
        <w:t>持续完善秸秆综合利用补助政策，对新建收储中心和购置秸秆离田打捆机械设备的，给予最高50%补助，对离田收储本地稻麦秸秆的服务组织，给予80元/亩补助，对利用本市秸秆的企业给予最高200万元的奖补资金；大力培育专业化秸秆离田收、储、运、用服务组织，目前已建成东、中、南等片区</w:t>
      </w:r>
      <w:r>
        <w:rPr>
          <w:rFonts w:hint="eastAsia" w:ascii="仿宋" w:hAnsi="仿宋" w:eastAsia="仿宋" w:cs="仿宋"/>
          <w:sz w:val="30"/>
          <w:szCs w:val="30"/>
          <w:lang w:eastAsia="zh-CN"/>
        </w:rPr>
        <w:t>省级标准化秸秆</w:t>
      </w:r>
      <w:r>
        <w:rPr>
          <w:rFonts w:hint="eastAsia" w:ascii="仿宋" w:hAnsi="仿宋" w:eastAsia="仿宋" w:cs="仿宋"/>
          <w:sz w:val="30"/>
          <w:szCs w:val="30"/>
        </w:rPr>
        <w:t>收储中心4个，年收储能力达4万吨，已培育秸秆离田服务主体6个、秸秆经纪人9名，农作物秸秆综合利用企业9家，形成秸秆燃料化、饲料化利用全链条闭环模式。</w:t>
      </w:r>
      <w:r>
        <w:rPr>
          <w:rFonts w:hint="eastAsia" w:ascii="仿宋" w:hAnsi="仿宋" w:eastAsia="仿宋" w:cs="仿宋"/>
          <w:sz w:val="30"/>
          <w:szCs w:val="30"/>
          <w:lang w:val="en-US" w:eastAsia="zh-CN"/>
        </w:rPr>
        <w:t>2024年我市秸秆综合利用率98.2%，离田利用率40.4%，位居全省前列。</w:t>
      </w:r>
    </w:p>
    <w:p w14:paraId="7D15E823">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三是持续探索秸秆利用途径。</w:t>
      </w:r>
      <w:r>
        <w:rPr>
          <w:rFonts w:hint="eastAsia" w:ascii="仿宋" w:hAnsi="仿宋" w:eastAsia="仿宋" w:cs="仿宋"/>
          <w:sz w:val="30"/>
          <w:szCs w:val="30"/>
          <w:lang w:eastAsia="zh-CN"/>
        </w:rPr>
        <w:t>自</w:t>
      </w:r>
      <w:r>
        <w:rPr>
          <w:rFonts w:hint="eastAsia" w:ascii="仿宋" w:hAnsi="仿宋" w:eastAsia="仿宋" w:cs="仿宋"/>
          <w:sz w:val="30"/>
          <w:szCs w:val="30"/>
        </w:rPr>
        <w:t>2022年开始，宁波宁兴甬优饲料有限公司作为我市秸秆</w:t>
      </w:r>
      <w:r>
        <w:rPr>
          <w:rFonts w:hint="eastAsia" w:ascii="仿宋" w:hAnsi="仿宋" w:eastAsia="仿宋" w:cs="仿宋"/>
          <w:sz w:val="30"/>
          <w:szCs w:val="30"/>
          <w:lang w:eastAsia="zh-CN"/>
        </w:rPr>
        <w:t>饲料化</w:t>
      </w:r>
      <w:r>
        <w:rPr>
          <w:rFonts w:hint="eastAsia" w:ascii="仿宋" w:hAnsi="仿宋" w:eastAsia="仿宋" w:cs="仿宋"/>
          <w:sz w:val="30"/>
          <w:szCs w:val="30"/>
        </w:rPr>
        <w:t>利用定点企业，每年利用慈溪本</w:t>
      </w:r>
      <w:r>
        <w:rPr>
          <w:rFonts w:hint="eastAsia" w:ascii="仿宋" w:hAnsi="仿宋" w:eastAsia="仿宋" w:cs="仿宋"/>
          <w:sz w:val="30"/>
          <w:szCs w:val="30"/>
          <w:lang w:eastAsia="zh-CN"/>
        </w:rPr>
        <w:t>地</w:t>
      </w:r>
      <w:r>
        <w:rPr>
          <w:rFonts w:hint="eastAsia" w:ascii="仿宋" w:hAnsi="仿宋" w:eastAsia="仿宋" w:cs="仿宋"/>
          <w:sz w:val="30"/>
          <w:szCs w:val="30"/>
        </w:rPr>
        <w:t>秸秆1万余吨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秸秆生态发酵饲料化利用模式”入选浙江省农作物秸秆综合利用十项典型模式。2024年4月13日，全省“秸秆变肉”暨秸秆饲料化现场推进会在慈溪召开，秸秆饲料化利用工作获省、市领导一致肯定。中科众茂热电厂年消纳秸秆五六千吨。</w:t>
      </w:r>
      <w:r>
        <w:rPr>
          <w:rFonts w:hint="eastAsia" w:ascii="仿宋" w:hAnsi="仿宋" w:eastAsia="仿宋" w:cs="仿宋"/>
          <w:sz w:val="30"/>
          <w:szCs w:val="30"/>
        </w:rPr>
        <w:t>在“秸秆变电”、“秸秆变肉”基础上，向原料化利用方向探索创新，目前与宁波一木亿森新材料有限公司开展秸秆人造板材试产，投产后可日耗秸秆200吨，年利用量可达6万吨。</w:t>
      </w:r>
    </w:p>
    <w:p w14:paraId="6F204B9A">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四是数字赋能推动利用水平。</w:t>
      </w:r>
      <w:r>
        <w:rPr>
          <w:rFonts w:hint="eastAsia" w:ascii="仿宋" w:hAnsi="仿宋" w:eastAsia="仿宋" w:cs="仿宋"/>
          <w:sz w:val="30"/>
          <w:szCs w:val="30"/>
        </w:rPr>
        <w:t>创新开发“慈农无废”数字化应用项目，通过移动端可实现农户预约秸秆回收、服务组织接单打捆收集、企业过磅称重等环节全程数字化，秸秆收储效率提升约50%。秸秆打捆机运行轨迹、收割地块、重量等数据，全部实时上传至数字乡村驾驶舱，形成秸秆综合利用全链条闭环数字化可视监管，使秸秆离田去向有迹可循。</w:t>
      </w:r>
    </w:p>
    <w:p w14:paraId="6D2EA1C2">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五是注重秸秆禁烧宣传引导。</w:t>
      </w:r>
      <w:r>
        <w:rPr>
          <w:rFonts w:hint="eastAsia" w:ascii="仿宋" w:hAnsi="仿宋" w:eastAsia="仿宋" w:cs="仿宋"/>
          <w:sz w:val="30"/>
          <w:szCs w:val="30"/>
        </w:rPr>
        <w:t>在</w:t>
      </w:r>
      <w:r>
        <w:rPr>
          <w:rFonts w:hint="eastAsia" w:ascii="仿宋" w:hAnsi="仿宋" w:eastAsia="仿宋" w:cs="仿宋"/>
          <w:sz w:val="30"/>
          <w:szCs w:val="30"/>
          <w:lang w:eastAsia="zh-CN"/>
        </w:rPr>
        <w:t>农作物</w:t>
      </w:r>
      <w:r>
        <w:rPr>
          <w:rFonts w:hint="eastAsia" w:ascii="仿宋" w:hAnsi="仿宋" w:eastAsia="仿宋" w:cs="仿宋"/>
          <w:sz w:val="30"/>
          <w:szCs w:val="30"/>
        </w:rPr>
        <w:t>收割高峰前期，通过微信公众号发布《2024年秋收农作物秸秆科学还田指导意见》</w:t>
      </w:r>
      <w:r>
        <w:rPr>
          <w:rFonts w:hint="eastAsia" w:ascii="仿宋" w:hAnsi="仿宋" w:eastAsia="仿宋" w:cs="仿宋"/>
          <w:sz w:val="30"/>
          <w:szCs w:val="30"/>
          <w:lang w:eastAsia="zh-CN"/>
        </w:rPr>
        <w:t>，</w:t>
      </w:r>
      <w:r>
        <w:rPr>
          <w:rFonts w:hint="eastAsia" w:ascii="仿宋" w:hAnsi="仿宋" w:eastAsia="仿宋" w:cs="仿宋"/>
          <w:sz w:val="30"/>
          <w:szCs w:val="30"/>
        </w:rPr>
        <w:t>结合</w:t>
      </w:r>
      <w:r>
        <w:rPr>
          <w:rFonts w:hint="eastAsia" w:ascii="仿宋" w:hAnsi="仿宋" w:eastAsia="仿宋" w:cs="仿宋"/>
          <w:sz w:val="30"/>
          <w:szCs w:val="30"/>
          <w:lang w:eastAsia="zh-CN"/>
        </w:rPr>
        <w:t>微信工作群、</w:t>
      </w:r>
      <w:r>
        <w:rPr>
          <w:rFonts w:hint="eastAsia" w:ascii="仿宋" w:hAnsi="仿宋" w:eastAsia="仿宋" w:cs="仿宋"/>
          <w:sz w:val="30"/>
          <w:szCs w:val="30"/>
        </w:rPr>
        <w:t>“五联五送”</w:t>
      </w:r>
      <w:r>
        <w:rPr>
          <w:rFonts w:hint="eastAsia" w:ascii="仿宋" w:hAnsi="仿宋" w:eastAsia="仿宋" w:cs="仿宋"/>
          <w:sz w:val="30"/>
          <w:szCs w:val="30"/>
          <w:lang w:eastAsia="zh-CN"/>
        </w:rPr>
        <w:t>科技下乡</w:t>
      </w:r>
      <w:r>
        <w:rPr>
          <w:rFonts w:hint="eastAsia" w:ascii="仿宋" w:hAnsi="仿宋" w:eastAsia="仿宋" w:cs="仿宋"/>
          <w:sz w:val="30"/>
          <w:szCs w:val="30"/>
        </w:rPr>
        <w:t>活动</w:t>
      </w:r>
      <w:r>
        <w:rPr>
          <w:rFonts w:hint="eastAsia" w:ascii="仿宋" w:hAnsi="仿宋" w:eastAsia="仿宋" w:cs="仿宋"/>
          <w:sz w:val="30"/>
          <w:szCs w:val="30"/>
          <w:lang w:eastAsia="zh-CN"/>
        </w:rPr>
        <w:t>等形式</w:t>
      </w:r>
      <w:r>
        <w:rPr>
          <w:rFonts w:hint="eastAsia" w:ascii="仿宋" w:hAnsi="仿宋" w:eastAsia="仿宋" w:cs="仿宋"/>
          <w:sz w:val="30"/>
          <w:szCs w:val="30"/>
        </w:rPr>
        <w:t>，加强对秸秆禁烧工作的宣传引导，多渠道宣传秸秆综合利用技术模式、经验做法、秸秆利用政策及露天禁烧等有关规定，配合环保、综合执法部门共同做好秸秆综合治理工作，着力构建同频共振、齐抓共管的秸秆治理新格局。</w:t>
      </w:r>
    </w:p>
    <w:p w14:paraId="1FF5F139">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下</w:t>
      </w:r>
      <w:r>
        <w:rPr>
          <w:rFonts w:hint="eastAsia" w:ascii="仿宋" w:hAnsi="仿宋" w:eastAsia="仿宋" w:cs="仿宋"/>
          <w:sz w:val="30"/>
          <w:szCs w:val="30"/>
          <w:lang w:eastAsia="zh-CN"/>
        </w:rPr>
        <w:t>一</w:t>
      </w:r>
      <w:r>
        <w:rPr>
          <w:rFonts w:hint="eastAsia" w:ascii="仿宋" w:hAnsi="仿宋" w:eastAsia="仿宋" w:cs="仿宋"/>
          <w:sz w:val="30"/>
          <w:szCs w:val="30"/>
        </w:rPr>
        <w:t>步，我</w:t>
      </w:r>
      <w:r>
        <w:rPr>
          <w:rFonts w:hint="eastAsia" w:ascii="仿宋" w:hAnsi="仿宋" w:eastAsia="仿宋" w:cs="仿宋"/>
          <w:sz w:val="30"/>
          <w:szCs w:val="30"/>
          <w:lang w:eastAsia="zh-CN"/>
        </w:rPr>
        <w:t>局将</w:t>
      </w:r>
      <w:r>
        <w:rPr>
          <w:rFonts w:hint="eastAsia" w:ascii="仿宋" w:hAnsi="仿宋" w:eastAsia="仿宋" w:cs="仿宋"/>
          <w:sz w:val="30"/>
          <w:szCs w:val="30"/>
        </w:rPr>
        <w:t>持续抓好秸秆综合利用工作，</w:t>
      </w:r>
      <w:r>
        <w:rPr>
          <w:rFonts w:hint="eastAsia" w:ascii="仿宋" w:hAnsi="仿宋" w:eastAsia="仿宋" w:cs="仿宋"/>
          <w:sz w:val="30"/>
          <w:szCs w:val="30"/>
          <w:lang w:eastAsia="zh-CN"/>
        </w:rPr>
        <w:t>进一步宣传引导农户科学利用秸秆</w:t>
      </w:r>
      <w:r>
        <w:rPr>
          <w:rFonts w:hint="eastAsia" w:ascii="仿宋" w:hAnsi="仿宋" w:eastAsia="仿宋" w:cs="仿宋"/>
          <w:sz w:val="30"/>
          <w:szCs w:val="30"/>
        </w:rPr>
        <w:t>，</w:t>
      </w:r>
      <w:r>
        <w:rPr>
          <w:rFonts w:hint="eastAsia" w:ascii="仿宋" w:hAnsi="仿宋" w:eastAsia="仿宋" w:cs="仿宋"/>
          <w:sz w:val="30"/>
          <w:szCs w:val="30"/>
          <w:lang w:eastAsia="zh-CN"/>
        </w:rPr>
        <w:t>配合贵局做好秸秆禁烧工作。</w:t>
      </w:r>
    </w:p>
    <w:p w14:paraId="4E5AFBAC">
      <w:pPr>
        <w:keepNext w:val="0"/>
        <w:keepLines w:val="0"/>
        <w:pageBreakBefore w:val="0"/>
        <w:kinsoku/>
        <w:wordWrap/>
        <w:overflowPunct/>
        <w:topLinePunct w:val="0"/>
        <w:autoSpaceDE/>
        <w:autoSpaceDN/>
        <w:bidi w:val="0"/>
        <w:adjustRightInd/>
        <w:snapToGrid/>
        <w:spacing w:line="560" w:lineRule="exact"/>
        <w:ind w:firstLine="5700" w:firstLineChars="1900"/>
        <w:jc w:val="right"/>
        <w:textAlignment w:val="auto"/>
        <w:rPr>
          <w:rFonts w:hint="eastAsia" w:ascii="仿宋" w:hAnsi="仿宋" w:eastAsia="仿宋" w:cs="仿宋"/>
          <w:sz w:val="30"/>
          <w:szCs w:val="30"/>
        </w:rPr>
      </w:pPr>
    </w:p>
    <w:p w14:paraId="6308D83D">
      <w:pPr>
        <w:keepNext w:val="0"/>
        <w:keepLines w:val="0"/>
        <w:pageBreakBefore w:val="0"/>
        <w:kinsoku/>
        <w:wordWrap/>
        <w:overflowPunct/>
        <w:topLinePunct w:val="0"/>
        <w:autoSpaceDE/>
        <w:autoSpaceDN/>
        <w:bidi w:val="0"/>
        <w:adjustRightInd/>
        <w:snapToGrid/>
        <w:spacing w:line="560" w:lineRule="exact"/>
        <w:ind w:firstLine="5700" w:firstLineChars="1900"/>
        <w:jc w:val="right"/>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14:paraId="6FD10CA2">
      <w:pPr>
        <w:keepNext w:val="0"/>
        <w:keepLines w:val="0"/>
        <w:pageBreakBefore w:val="0"/>
        <w:kinsoku/>
        <w:wordWrap/>
        <w:overflowPunct/>
        <w:topLinePunct w:val="0"/>
        <w:autoSpaceDE/>
        <w:autoSpaceDN/>
        <w:bidi w:val="0"/>
        <w:adjustRightInd/>
        <w:snapToGrid/>
        <w:spacing w:line="560" w:lineRule="exact"/>
        <w:ind w:firstLine="5700" w:firstLineChars="19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 xml:space="preserve"> 慈溪市农业</w:t>
      </w:r>
      <w:r>
        <w:rPr>
          <w:rFonts w:hint="eastAsia" w:ascii="仿宋" w:hAnsi="仿宋" w:eastAsia="仿宋" w:cs="仿宋"/>
          <w:sz w:val="30"/>
          <w:szCs w:val="30"/>
          <w:lang w:eastAsia="zh-CN"/>
        </w:rPr>
        <w:t>农村</w:t>
      </w:r>
      <w:r>
        <w:rPr>
          <w:rFonts w:hint="eastAsia" w:ascii="仿宋" w:hAnsi="仿宋" w:eastAsia="仿宋" w:cs="仿宋"/>
          <w:sz w:val="30"/>
          <w:szCs w:val="30"/>
        </w:rPr>
        <w:t>局</w:t>
      </w:r>
      <w:r>
        <w:rPr>
          <w:rFonts w:hint="eastAsia" w:ascii="仿宋" w:hAnsi="仿宋" w:eastAsia="仿宋" w:cs="仿宋"/>
          <w:sz w:val="30"/>
          <w:szCs w:val="30"/>
          <w:lang w:val="en-US" w:eastAsia="zh-CN"/>
        </w:rPr>
        <w:t xml:space="preserve">  </w:t>
      </w:r>
    </w:p>
    <w:p w14:paraId="091BD121">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2025</w:t>
      </w:r>
      <w:r>
        <w:rPr>
          <w:rFonts w:hint="eastAsia" w:ascii="仿宋" w:hAnsi="仿宋" w:eastAsia="仿宋" w:cs="仿宋"/>
          <w:sz w:val="30"/>
          <w:szCs w:val="30"/>
        </w:rPr>
        <w:t>年</w:t>
      </w:r>
      <w:r>
        <w:rPr>
          <w:rFonts w:hint="eastAsia" w:ascii="仿宋" w:hAnsi="仿宋" w:eastAsia="仿宋" w:cs="仿宋"/>
          <w:spacing w:val="-16"/>
          <w:sz w:val="30"/>
          <w:szCs w:val="30"/>
          <w:lang w:val="en-US" w:eastAsia="zh-CN"/>
        </w:rPr>
        <w:t>4</w:t>
      </w:r>
      <w:r>
        <w:rPr>
          <w:rFonts w:hint="eastAsia" w:ascii="仿宋" w:hAnsi="仿宋" w:eastAsia="仿宋" w:cs="仿宋"/>
          <w:sz w:val="30"/>
          <w:szCs w:val="30"/>
        </w:rPr>
        <w:t>月</w:t>
      </w:r>
      <w:r>
        <w:rPr>
          <w:rFonts w:hint="eastAsia" w:ascii="仿宋" w:hAnsi="仿宋" w:eastAsia="仿宋" w:cs="仿宋"/>
          <w:spacing w:val="-16"/>
          <w:sz w:val="30"/>
          <w:szCs w:val="30"/>
          <w:lang w:val="en-US" w:eastAsia="zh-CN"/>
        </w:rPr>
        <w:t>23</w:t>
      </w:r>
      <w:r>
        <w:rPr>
          <w:rFonts w:hint="eastAsia" w:ascii="仿宋" w:hAnsi="仿宋" w:eastAsia="仿宋" w:cs="仿宋"/>
          <w:sz w:val="30"/>
          <w:szCs w:val="30"/>
        </w:rPr>
        <w:t>日</w:t>
      </w:r>
      <w:r>
        <w:rPr>
          <w:rFonts w:hint="eastAsia" w:ascii="仿宋" w:hAnsi="仿宋" w:eastAsia="仿宋" w:cs="仿宋"/>
          <w:sz w:val="30"/>
          <w:szCs w:val="30"/>
          <w:lang w:val="en-US" w:eastAsia="zh-CN"/>
        </w:rPr>
        <w:t xml:space="preserve">   </w:t>
      </w:r>
    </w:p>
    <w:p w14:paraId="791109C3">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联系人：</w:t>
      </w:r>
      <w:r>
        <w:rPr>
          <w:rFonts w:hint="eastAsia" w:ascii="仿宋" w:hAnsi="仿宋" w:eastAsia="仿宋" w:cs="仿宋"/>
          <w:sz w:val="30"/>
          <w:szCs w:val="30"/>
          <w:lang w:eastAsia="zh-CN"/>
        </w:rPr>
        <w:t>张瑞</w:t>
      </w:r>
    </w:p>
    <w:p w14:paraId="29822BB0">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联系电话：</w:t>
      </w:r>
      <w:r>
        <w:rPr>
          <w:rFonts w:hint="eastAsia" w:ascii="仿宋" w:hAnsi="仿宋" w:eastAsia="仿宋" w:cs="仿宋"/>
          <w:sz w:val="30"/>
          <w:szCs w:val="30"/>
          <w:lang w:val="en-US" w:eastAsia="zh-CN"/>
        </w:rPr>
        <w:t>13732109253</w:t>
      </w:r>
    </w:p>
    <w:p w14:paraId="26160DD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14:paraId="3D95A69E">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103B9"/>
    <w:rsid w:val="59B01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2023-08-26T08:42:00Z</dcterms:created>
  <dc:creator>admin</dc:creator>
  <cp:lastModifiedBy>瓜瓜</cp:lastModifiedBy>
  <dcterms:modified xsi:type="dcterms:W3CDTF">2025-04-25T03:21:24Z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2E8C643E8FFD44B7B8F6DD9DF607A46D</vt:lpwstr>
  </property>
  <property fmtid="{D5CDD505-2E9C-101B-9397-08002B2CF9AE}" pid="4" name="KSOTemplateDocerSaveRecord">
    <vt:lpwstr>eyJoZGlkIjoiOGRmYTAyZjg0YjM4MWJlYjc1ODUyZGE4MTk1MWRiYzkiLCJ1c2VySWQiOiIzMDc0MTE1NDUifQ==</vt:lpwstr>
  </property>
</Properties>
</file>