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3A" w:rsidRDefault="006F563A" w:rsidP="00433D44">
      <w:pPr>
        <w:spacing w:line="560" w:lineRule="exact"/>
        <w:rPr>
          <w:rFonts w:ascii="黑体" w:eastAsia="黑体"/>
          <w:color w:val="FF0000"/>
          <w:sz w:val="44"/>
          <w:szCs w:val="44"/>
        </w:rPr>
      </w:pPr>
    </w:p>
    <w:p w:rsidR="006F563A" w:rsidRDefault="00433D44" w:rsidP="00433D44">
      <w:pPr>
        <w:spacing w:line="560" w:lineRule="exact"/>
        <w:jc w:val="center"/>
        <w:rPr>
          <w:rFonts w:ascii="方正小标宋简体" w:eastAsia="方正小标宋简体" w:hAnsi="宋体" w:cs="Arial"/>
          <w:sz w:val="44"/>
          <w:szCs w:val="44"/>
        </w:rPr>
      </w:pPr>
      <w:r w:rsidRPr="00433D44">
        <w:rPr>
          <w:rFonts w:ascii="方正小标宋简体" w:eastAsia="方正小标宋简体" w:hAnsi="宋体" w:cs="Arial" w:hint="eastAsia"/>
          <w:sz w:val="44"/>
          <w:szCs w:val="44"/>
        </w:rPr>
        <w:t>关于金融诉讼案件实行集中审执的建议</w:t>
      </w:r>
    </w:p>
    <w:p w:rsidR="00433D44" w:rsidRDefault="00433D44" w:rsidP="00433D44">
      <w:pPr>
        <w:spacing w:line="560" w:lineRule="exact"/>
        <w:rPr>
          <w:rFonts w:ascii="楷体_GB2312" w:eastAsia="楷体_GB2312"/>
          <w:color w:val="FF0000"/>
          <w:sz w:val="32"/>
          <w:szCs w:val="32"/>
        </w:rPr>
      </w:pPr>
    </w:p>
    <w:p w:rsidR="006F563A" w:rsidRPr="00433D44" w:rsidRDefault="00247BCA" w:rsidP="00433D44">
      <w:pPr>
        <w:spacing w:line="560" w:lineRule="exact"/>
        <w:rPr>
          <w:rFonts w:ascii="楷体_GB2312" w:eastAsia="楷体_GB2312"/>
          <w:sz w:val="32"/>
          <w:szCs w:val="32"/>
        </w:rPr>
      </w:pPr>
      <w:r w:rsidRPr="00433D44">
        <w:rPr>
          <w:rFonts w:ascii="楷体_GB2312" w:eastAsia="楷体_GB2312" w:hint="eastAsia"/>
          <w:sz w:val="32"/>
          <w:szCs w:val="32"/>
        </w:rPr>
        <w:t>领衔代表：陈益亭</w:t>
      </w:r>
    </w:p>
    <w:p w:rsidR="006F563A" w:rsidRPr="00433D44" w:rsidRDefault="00247BCA" w:rsidP="00433D44">
      <w:pPr>
        <w:spacing w:line="560" w:lineRule="exact"/>
        <w:rPr>
          <w:rFonts w:ascii="楷体_GB2312" w:eastAsia="楷体_GB2312"/>
          <w:sz w:val="32"/>
          <w:szCs w:val="32"/>
        </w:rPr>
      </w:pPr>
      <w:r w:rsidRPr="00433D44">
        <w:rPr>
          <w:rFonts w:ascii="楷体_GB2312" w:eastAsia="楷体_GB2312" w:hint="eastAsia"/>
          <w:sz w:val="32"/>
          <w:szCs w:val="32"/>
        </w:rPr>
        <w:t>附议代表：</w:t>
      </w:r>
    </w:p>
    <w:p w:rsidR="006F563A" w:rsidRDefault="006F563A" w:rsidP="00433D44">
      <w:pPr>
        <w:spacing w:line="560" w:lineRule="exact"/>
        <w:rPr>
          <w:rFonts w:ascii="楷体_GB2312" w:eastAsia="楷体_GB2312"/>
          <w:color w:val="FF0000"/>
          <w:sz w:val="32"/>
          <w:szCs w:val="32"/>
        </w:rPr>
      </w:pPr>
    </w:p>
    <w:p w:rsidR="007D7156" w:rsidRDefault="00247BCA" w:rsidP="00433D44">
      <w:pPr>
        <w:spacing w:line="560" w:lineRule="exact"/>
        <w:ind w:firstLineChars="200" w:firstLine="640"/>
        <w:rPr>
          <w:rFonts w:ascii="仿宋_GB2312" w:eastAsia="仿宋_GB2312" w:hAnsi="宋体" w:hint="eastAsia"/>
          <w:sz w:val="32"/>
          <w:szCs w:val="32"/>
        </w:rPr>
      </w:pPr>
      <w:r w:rsidRPr="00433D44">
        <w:rPr>
          <w:rFonts w:ascii="仿宋_GB2312" w:eastAsia="仿宋_GB2312" w:hAnsi="宋体" w:hint="eastAsia"/>
          <w:sz w:val="32"/>
          <w:szCs w:val="32"/>
        </w:rPr>
        <w:t>近年来，慈溪法院受理的金融案件数量呈现逐年较大比例增加的趋势。据统计，慈溪法院2023年度受理的金融借款、信用卡纠纷案件数量为514件，2024年度至今已受理同类案件905件（以上数据对法院五并一、十并一的案件未作拆分，实际数量更大）。而且随着宏观经济环境的影响，金融案件的发案量也会进一步增加，特别是对慈溪银行业来说，不良贷款的上升也将是大概率事件。</w:t>
      </w:r>
    </w:p>
    <w:p w:rsidR="006F563A" w:rsidRPr="00433D44" w:rsidRDefault="00247BCA" w:rsidP="00433D44">
      <w:pPr>
        <w:spacing w:line="560" w:lineRule="exact"/>
        <w:ind w:firstLineChars="200" w:firstLine="640"/>
        <w:rPr>
          <w:rFonts w:ascii="仿宋_GB2312" w:eastAsia="仿宋_GB2312" w:hAnsi="宋体"/>
          <w:sz w:val="32"/>
          <w:szCs w:val="32"/>
        </w:rPr>
      </w:pPr>
      <w:r w:rsidRPr="00433D44">
        <w:rPr>
          <w:rFonts w:ascii="仿宋_GB2312" w:eastAsia="仿宋_GB2312" w:hAnsi="宋体" w:hint="eastAsia"/>
          <w:sz w:val="32"/>
          <w:szCs w:val="32"/>
        </w:rPr>
        <w:t>对此，本人提出以下建议：</w:t>
      </w:r>
    </w:p>
    <w:p w:rsidR="006F563A" w:rsidRPr="00433D44" w:rsidRDefault="00247BCA" w:rsidP="00433D44">
      <w:pPr>
        <w:spacing w:line="560" w:lineRule="exact"/>
        <w:ind w:firstLineChars="200" w:firstLine="640"/>
        <w:rPr>
          <w:rFonts w:ascii="仿宋_GB2312" w:eastAsia="仿宋_GB2312" w:hAnsi="宋体"/>
          <w:sz w:val="32"/>
          <w:szCs w:val="32"/>
        </w:rPr>
      </w:pPr>
      <w:r w:rsidRPr="00433D44">
        <w:rPr>
          <w:rFonts w:ascii="黑体" w:eastAsia="黑体" w:hAnsi="黑体" w:hint="eastAsia"/>
          <w:sz w:val="32"/>
          <w:szCs w:val="32"/>
        </w:rPr>
        <w:t>一、在金融业相对聚集的环创区域设立专门的金融法庭。</w:t>
      </w:r>
      <w:r w:rsidRPr="00433D44">
        <w:rPr>
          <w:rFonts w:ascii="仿宋_GB2312" w:eastAsia="仿宋_GB2312" w:hAnsi="宋体" w:hint="eastAsia"/>
          <w:sz w:val="32"/>
          <w:szCs w:val="32"/>
        </w:rPr>
        <w:t>目前在环创区域已有建行、宁波银行、兴业银行、北京银行、恒丰、民泰、徽商、东海、农商行、农发行等众多银行机构入驻，金融机构相对集中，且还有其他金融机构想入驻但苦于没有营业场所。同时，环创区域作为我市重点发展的经济增长点，目前也集聚了众多的新兴产业及新经济业态，该区域周边高档小区多、人口相对集中，金融服务需求及金融产品交易量大，因此在环创区域设立金融法庭有一定的客观性和现实性。同时也可以提升法院诉讼</w:t>
      </w:r>
      <w:r w:rsidRPr="00433D44">
        <w:rPr>
          <w:rFonts w:ascii="仿宋_GB2312" w:eastAsia="仿宋_GB2312" w:hAnsi="宋体" w:hint="eastAsia"/>
          <w:sz w:val="32"/>
          <w:szCs w:val="32"/>
        </w:rPr>
        <w:lastRenderedPageBreak/>
        <w:t>服务的效率、审判执行的效率。</w:t>
      </w:r>
    </w:p>
    <w:p w:rsidR="006F563A" w:rsidRPr="00433D44" w:rsidRDefault="00247BCA" w:rsidP="00433D44">
      <w:pPr>
        <w:spacing w:line="560" w:lineRule="exact"/>
        <w:ind w:firstLineChars="200" w:firstLine="640"/>
        <w:rPr>
          <w:rFonts w:ascii="仿宋_GB2312" w:eastAsia="仿宋_GB2312" w:hAnsi="宋体"/>
          <w:sz w:val="32"/>
          <w:szCs w:val="32"/>
        </w:rPr>
      </w:pPr>
      <w:r w:rsidRPr="00433D44">
        <w:rPr>
          <w:rFonts w:ascii="黑体" w:eastAsia="黑体" w:hAnsi="黑体" w:hint="eastAsia"/>
          <w:sz w:val="32"/>
          <w:szCs w:val="32"/>
        </w:rPr>
        <w:t>二、如设立专门的金融法庭条件不成熟，建议将金融案件集中在同一个审判庭或同一个法庭统一办理。</w:t>
      </w:r>
      <w:r w:rsidRPr="00433D44">
        <w:rPr>
          <w:rFonts w:ascii="仿宋_GB2312" w:eastAsia="仿宋_GB2312" w:hAnsi="宋体" w:hint="eastAsia"/>
          <w:sz w:val="32"/>
          <w:szCs w:val="32"/>
        </w:rPr>
        <w:t>设立专门的金融法庭需要省、市等上级法院审批，涉及机构设置、人员配置等众多条件限制，可能存在一定困难。为此，如条件尚不够成熟，建议将金融案件集中在某一个审判庭或某一个人民法庭统一办理。就慈溪法院目前情况看，全市的金融案件分散在院审判庭及下面各个法庭审理，这对金融机构、广大人民群众立案、出庭等带来极大不便，众多银行也反映工作联系极不方便。将金融案件集中办理也是贯彻落实“我为群众办实事”、“最多跑一次”、“一站式解决”等政策的高度体现，也是打造最优营商环境的具体实践。建议将金融案件按标的额大小集中在民二庭或城区某一法庭办理。</w:t>
      </w:r>
    </w:p>
    <w:p w:rsidR="006F563A" w:rsidRPr="00433D44" w:rsidRDefault="00247BCA" w:rsidP="00433D44">
      <w:pPr>
        <w:spacing w:line="560" w:lineRule="exact"/>
        <w:ind w:firstLineChars="200" w:firstLine="640"/>
        <w:rPr>
          <w:rFonts w:ascii="仿宋_GB2312" w:eastAsia="仿宋_GB2312" w:hAnsi="宋体"/>
          <w:sz w:val="32"/>
          <w:szCs w:val="32"/>
        </w:rPr>
      </w:pPr>
      <w:r w:rsidRPr="00433D44">
        <w:rPr>
          <w:rFonts w:ascii="黑体" w:eastAsia="黑体" w:hAnsi="黑体" w:hint="eastAsia"/>
          <w:sz w:val="32"/>
          <w:szCs w:val="32"/>
        </w:rPr>
        <w:t>三、对批量金融诉讼案件譬如信用卡纠纷等案件进行数字化管理。</w:t>
      </w:r>
      <w:r w:rsidRPr="00433D44">
        <w:rPr>
          <w:rFonts w:ascii="仿宋_GB2312" w:eastAsia="仿宋_GB2312" w:hAnsi="宋体" w:hint="eastAsia"/>
          <w:sz w:val="32"/>
          <w:szCs w:val="32"/>
        </w:rPr>
        <w:t>近年来，金融诉讼案件呈现量大、标的额小的特点，如消费信贷、信用卡、网上贷款等，如采用传统的审理方式往往周期长、效率低。因此建议法院能购买一些较为新型的电子数据产品以及案件管理系统，或者与专门的法律科技公司合作，大力推进诉讼案件的数字化改革及智慧法院建设，以进一步提高法院的办案效率。</w:t>
      </w:r>
    </w:p>
    <w:p w:rsidR="006F563A" w:rsidRPr="00433D44" w:rsidRDefault="00247BCA" w:rsidP="00433D44">
      <w:pPr>
        <w:spacing w:line="560" w:lineRule="exact"/>
        <w:ind w:firstLineChars="200" w:firstLine="640"/>
        <w:rPr>
          <w:rFonts w:ascii="仿宋_GB2312" w:eastAsia="仿宋_GB2312" w:hAnsi="仿宋" w:cs="仿宋"/>
          <w:color w:val="333333"/>
          <w:kern w:val="0"/>
          <w:sz w:val="32"/>
          <w:szCs w:val="32"/>
          <w:shd w:val="clear" w:color="auto" w:fill="FFFFFF"/>
        </w:rPr>
      </w:pPr>
      <w:r w:rsidRPr="00433D44">
        <w:rPr>
          <w:rFonts w:ascii="黑体" w:eastAsia="黑体" w:hAnsi="黑体" w:hint="eastAsia"/>
          <w:sz w:val="32"/>
          <w:szCs w:val="32"/>
        </w:rPr>
        <w:t>四、设立涉金融案件执行中心，将金融案件的执行集中统一管理。</w:t>
      </w:r>
      <w:r w:rsidRPr="00433D44">
        <w:rPr>
          <w:rFonts w:ascii="仿宋_GB2312" w:eastAsia="仿宋_GB2312" w:hAnsi="宋体" w:hint="eastAsia"/>
          <w:sz w:val="32"/>
          <w:szCs w:val="32"/>
        </w:rPr>
        <w:t>针对目前执行立案慢、执恢难、有财产案件执行程序复杂的现状，建议将所有涉及金融机构的执行案件统一归口到该中心</w:t>
      </w:r>
      <w:r w:rsidRPr="00433D44">
        <w:rPr>
          <w:rFonts w:ascii="仿宋_GB2312" w:eastAsia="仿宋_GB2312" w:hAnsi="宋体" w:hint="eastAsia"/>
          <w:sz w:val="32"/>
          <w:szCs w:val="32"/>
        </w:rPr>
        <w:lastRenderedPageBreak/>
        <w:t>执行，并建立速执机制，对有财产案件提前进入评估程序，简化、减少内部审批流程，提升执行效率。</w:t>
      </w:r>
      <w:bookmarkStart w:id="0" w:name="_GoBack"/>
      <w:bookmarkEnd w:id="0"/>
    </w:p>
    <w:sectPr w:rsidR="006F563A" w:rsidRPr="00433D44" w:rsidSect="00433D44">
      <w:headerReference w:type="default" r:id="rId6"/>
      <w:footerReference w:type="even" r:id="rId7"/>
      <w:footerReference w:type="default" r:id="rId8"/>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E5" w:rsidRDefault="00AB0BE5" w:rsidP="006F563A">
      <w:r>
        <w:separator/>
      </w:r>
    </w:p>
  </w:endnote>
  <w:endnote w:type="continuationSeparator" w:id="1">
    <w:p w:rsidR="00AB0BE5" w:rsidRDefault="00AB0BE5" w:rsidP="006F5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3A" w:rsidRDefault="002B0A56">
    <w:pPr>
      <w:pStyle w:val="a3"/>
      <w:framePr w:wrap="around" w:vAnchor="text" w:hAnchor="margin" w:xAlign="center" w:y="1"/>
      <w:rPr>
        <w:rStyle w:val="a7"/>
      </w:rPr>
    </w:pPr>
    <w:r>
      <w:fldChar w:fldCharType="begin"/>
    </w:r>
    <w:r w:rsidR="00247BCA">
      <w:rPr>
        <w:rStyle w:val="a7"/>
      </w:rPr>
      <w:instrText xml:space="preserve">PAGE  </w:instrText>
    </w:r>
    <w:r>
      <w:fldChar w:fldCharType="end"/>
    </w:r>
  </w:p>
  <w:p w:rsidR="006F563A" w:rsidRDefault="006F56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3A" w:rsidRDefault="002B0A56">
    <w:pPr>
      <w:pStyle w:val="a3"/>
      <w:framePr w:wrap="around" w:vAnchor="text" w:hAnchor="margin" w:xAlign="center" w:y="1"/>
      <w:rPr>
        <w:rStyle w:val="a7"/>
      </w:rPr>
    </w:pPr>
    <w:r>
      <w:fldChar w:fldCharType="begin"/>
    </w:r>
    <w:r w:rsidR="00247BCA">
      <w:rPr>
        <w:rStyle w:val="a7"/>
      </w:rPr>
      <w:instrText xml:space="preserve">PAGE  </w:instrText>
    </w:r>
    <w:r>
      <w:fldChar w:fldCharType="separate"/>
    </w:r>
    <w:r w:rsidR="007D7156">
      <w:rPr>
        <w:rStyle w:val="a7"/>
        <w:noProof/>
      </w:rPr>
      <w:t>1</w:t>
    </w:r>
    <w:r>
      <w:fldChar w:fldCharType="end"/>
    </w:r>
  </w:p>
  <w:p w:rsidR="006F563A" w:rsidRDefault="006F56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E5" w:rsidRDefault="00AB0BE5" w:rsidP="006F563A">
      <w:r>
        <w:separator/>
      </w:r>
    </w:p>
  </w:footnote>
  <w:footnote w:type="continuationSeparator" w:id="1">
    <w:p w:rsidR="00AB0BE5" w:rsidRDefault="00AB0BE5" w:rsidP="006F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3A" w:rsidRDefault="006F563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D42AA"/>
    <w:rsid w:val="001D4C86"/>
    <w:rsid w:val="001D4CB6"/>
    <w:rsid w:val="001E377B"/>
    <w:rsid w:val="001E3976"/>
    <w:rsid w:val="001E5F4C"/>
    <w:rsid w:val="00207E85"/>
    <w:rsid w:val="00225463"/>
    <w:rsid w:val="002324BC"/>
    <w:rsid w:val="002326DB"/>
    <w:rsid w:val="00232D06"/>
    <w:rsid w:val="00234482"/>
    <w:rsid w:val="00236E0C"/>
    <w:rsid w:val="00240960"/>
    <w:rsid w:val="00247BCA"/>
    <w:rsid w:val="00251FCE"/>
    <w:rsid w:val="00260B23"/>
    <w:rsid w:val="0026729A"/>
    <w:rsid w:val="00271D65"/>
    <w:rsid w:val="0029742B"/>
    <w:rsid w:val="002A0195"/>
    <w:rsid w:val="002B0A56"/>
    <w:rsid w:val="002B418D"/>
    <w:rsid w:val="002B47EE"/>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3D44"/>
    <w:rsid w:val="0043566D"/>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F3E17"/>
    <w:rsid w:val="004F6465"/>
    <w:rsid w:val="005115A6"/>
    <w:rsid w:val="00514CA0"/>
    <w:rsid w:val="00522B93"/>
    <w:rsid w:val="00524F8A"/>
    <w:rsid w:val="00531595"/>
    <w:rsid w:val="00547F07"/>
    <w:rsid w:val="0056002E"/>
    <w:rsid w:val="00560DF8"/>
    <w:rsid w:val="00560F29"/>
    <w:rsid w:val="00573557"/>
    <w:rsid w:val="005758B4"/>
    <w:rsid w:val="00582392"/>
    <w:rsid w:val="00586172"/>
    <w:rsid w:val="00586951"/>
    <w:rsid w:val="00590307"/>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C1F49"/>
    <w:rsid w:val="006D1A06"/>
    <w:rsid w:val="006F563A"/>
    <w:rsid w:val="0072699B"/>
    <w:rsid w:val="00744316"/>
    <w:rsid w:val="00786DEB"/>
    <w:rsid w:val="007945DF"/>
    <w:rsid w:val="00796295"/>
    <w:rsid w:val="007A2E61"/>
    <w:rsid w:val="007B2566"/>
    <w:rsid w:val="007C1DE1"/>
    <w:rsid w:val="007C675A"/>
    <w:rsid w:val="007D1C4A"/>
    <w:rsid w:val="007D4004"/>
    <w:rsid w:val="007D477D"/>
    <w:rsid w:val="007D7156"/>
    <w:rsid w:val="007F5251"/>
    <w:rsid w:val="0082117E"/>
    <w:rsid w:val="008431CB"/>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2460"/>
    <w:rsid w:val="00965CFE"/>
    <w:rsid w:val="0097210A"/>
    <w:rsid w:val="00974B8B"/>
    <w:rsid w:val="00990838"/>
    <w:rsid w:val="00992664"/>
    <w:rsid w:val="00995420"/>
    <w:rsid w:val="009B23AA"/>
    <w:rsid w:val="009B46CB"/>
    <w:rsid w:val="009B5B5D"/>
    <w:rsid w:val="009C59CC"/>
    <w:rsid w:val="009C7AA4"/>
    <w:rsid w:val="009D29EA"/>
    <w:rsid w:val="009F21D7"/>
    <w:rsid w:val="00A04213"/>
    <w:rsid w:val="00A2414D"/>
    <w:rsid w:val="00A26A2F"/>
    <w:rsid w:val="00A42AF0"/>
    <w:rsid w:val="00A4504D"/>
    <w:rsid w:val="00A4621C"/>
    <w:rsid w:val="00A53A85"/>
    <w:rsid w:val="00A7586A"/>
    <w:rsid w:val="00A83079"/>
    <w:rsid w:val="00A84F93"/>
    <w:rsid w:val="00A85F02"/>
    <w:rsid w:val="00A96117"/>
    <w:rsid w:val="00AA20D9"/>
    <w:rsid w:val="00AA69FB"/>
    <w:rsid w:val="00AB0046"/>
    <w:rsid w:val="00AB0BE5"/>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43CDC"/>
    <w:rsid w:val="00B46B99"/>
    <w:rsid w:val="00B94B73"/>
    <w:rsid w:val="00BA273E"/>
    <w:rsid w:val="00BB0510"/>
    <w:rsid w:val="00BB35E5"/>
    <w:rsid w:val="00BB4408"/>
    <w:rsid w:val="00BC28EA"/>
    <w:rsid w:val="00BC4164"/>
    <w:rsid w:val="00BD15F8"/>
    <w:rsid w:val="00BD786A"/>
    <w:rsid w:val="00BF3CF3"/>
    <w:rsid w:val="00BF630E"/>
    <w:rsid w:val="00BF6409"/>
    <w:rsid w:val="00C027A9"/>
    <w:rsid w:val="00C119FC"/>
    <w:rsid w:val="00C23592"/>
    <w:rsid w:val="00C24097"/>
    <w:rsid w:val="00C316D0"/>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75962"/>
    <w:rsid w:val="00D84EDE"/>
    <w:rsid w:val="00D85F24"/>
    <w:rsid w:val="00D87A1C"/>
    <w:rsid w:val="00D87E4B"/>
    <w:rsid w:val="00D93B2F"/>
    <w:rsid w:val="00DA32C0"/>
    <w:rsid w:val="00DA5E90"/>
    <w:rsid w:val="00DB3D62"/>
    <w:rsid w:val="00DB685A"/>
    <w:rsid w:val="00DD4F07"/>
    <w:rsid w:val="00DD7A6D"/>
    <w:rsid w:val="00E24274"/>
    <w:rsid w:val="00E270A0"/>
    <w:rsid w:val="00E6124A"/>
    <w:rsid w:val="00E61BF0"/>
    <w:rsid w:val="00E67963"/>
    <w:rsid w:val="00E74935"/>
    <w:rsid w:val="00E91CB1"/>
    <w:rsid w:val="00EA6C99"/>
    <w:rsid w:val="00ED1AA6"/>
    <w:rsid w:val="00ED6665"/>
    <w:rsid w:val="00F05FCF"/>
    <w:rsid w:val="00F131FE"/>
    <w:rsid w:val="00F16386"/>
    <w:rsid w:val="00F22CC2"/>
    <w:rsid w:val="00F255B4"/>
    <w:rsid w:val="00F65F96"/>
    <w:rsid w:val="00F76E6A"/>
    <w:rsid w:val="00F80E27"/>
    <w:rsid w:val="00F832C1"/>
    <w:rsid w:val="00F84C46"/>
    <w:rsid w:val="00F854BB"/>
    <w:rsid w:val="00F855A3"/>
    <w:rsid w:val="00F93C79"/>
    <w:rsid w:val="00F9788D"/>
    <w:rsid w:val="00FA6F90"/>
    <w:rsid w:val="00FC4C1B"/>
    <w:rsid w:val="00FE4855"/>
    <w:rsid w:val="00FE50A0"/>
    <w:rsid w:val="02D948B4"/>
    <w:rsid w:val="07184BFF"/>
    <w:rsid w:val="18A343F5"/>
    <w:rsid w:val="1E024A68"/>
    <w:rsid w:val="21AD0FAD"/>
    <w:rsid w:val="278D1F1B"/>
    <w:rsid w:val="38BB557D"/>
    <w:rsid w:val="4F085390"/>
    <w:rsid w:val="56CD1A10"/>
    <w:rsid w:val="61093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63A"/>
    <w:pPr>
      <w:widowControl w:val="0"/>
      <w:jc w:val="both"/>
    </w:pPr>
    <w:rPr>
      <w:kern w:val="2"/>
      <w:sz w:val="21"/>
      <w:szCs w:val="24"/>
    </w:rPr>
  </w:style>
  <w:style w:type="paragraph" w:styleId="1">
    <w:name w:val="heading 1"/>
    <w:basedOn w:val="a"/>
    <w:next w:val="a"/>
    <w:qFormat/>
    <w:rsid w:val="006F563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563A"/>
    <w:pPr>
      <w:tabs>
        <w:tab w:val="center" w:pos="4153"/>
        <w:tab w:val="right" w:pos="8306"/>
      </w:tabs>
      <w:snapToGrid w:val="0"/>
      <w:jc w:val="left"/>
    </w:pPr>
    <w:rPr>
      <w:sz w:val="18"/>
      <w:szCs w:val="18"/>
    </w:rPr>
  </w:style>
  <w:style w:type="paragraph" w:styleId="a4">
    <w:name w:val="header"/>
    <w:basedOn w:val="a"/>
    <w:qFormat/>
    <w:rsid w:val="006F563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563A"/>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6F563A"/>
    <w:rPr>
      <w:b/>
      <w:bCs/>
    </w:rPr>
  </w:style>
  <w:style w:type="character" w:styleId="a7">
    <w:name w:val="page number"/>
    <w:basedOn w:val="a0"/>
    <w:qFormat/>
    <w:rsid w:val="006F563A"/>
  </w:style>
  <w:style w:type="character" w:styleId="a8">
    <w:name w:val="Emphasis"/>
    <w:uiPriority w:val="20"/>
    <w:qFormat/>
    <w:rsid w:val="006F563A"/>
    <w:rPr>
      <w:color w:val="CC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912</Characters>
  <Application>Microsoft Office Word</Application>
  <DocSecurity>0</DocSecurity>
  <Lines>7</Lines>
  <Paragraphs>2</Paragraphs>
  <ScaleCrop>false</ScaleCrop>
  <Company>微软公司</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user</cp:lastModifiedBy>
  <cp:revision>3</cp:revision>
  <cp:lastPrinted>2015-01-27T01:27:00Z</cp:lastPrinted>
  <dcterms:created xsi:type="dcterms:W3CDTF">2025-01-19T03:22:00Z</dcterms:created>
  <dcterms:modified xsi:type="dcterms:W3CDTF">2025-01-20T00:40:00Z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D09A2E8CE7D440B583B004AE12199D5B</vt:lpwstr>
  </property>
</Properties>
</file>